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9600"/>
      </w:tblGrid>
      <w:tr w:rsidR="00A35C6F" w14:paraId="50E8C03A" w14:textId="77777777" w:rsidTr="00A35C6F">
        <w:tblPrEx>
          <w:tblCellMar>
            <w:top w:w="0" w:type="dxa"/>
            <w:left w:w="0" w:type="dxa"/>
            <w:bottom w:w="0" w:type="dxa"/>
            <w:right w:w="0" w:type="dxa"/>
          </w:tblCellMar>
        </w:tblPrEx>
        <w:tc>
          <w:tcPr>
            <w:tcW w:w="9600" w:type="dxa"/>
            <w:tcBorders>
              <w:top w:val="nil"/>
              <w:left w:val="nil"/>
              <w:bottom w:val="nil"/>
              <w:right w:val="nil"/>
            </w:tcBorders>
            <w:shd w:val="clear" w:color="auto" w:fill="F6F6F6"/>
            <w:tcMar>
              <w:top w:w="200" w:type="nil"/>
              <w:left w:w="100" w:type="nil"/>
              <w:bottom w:w="100" w:type="nil"/>
              <w:right w:w="200" w:type="nil"/>
            </w:tcMar>
            <w:vAlign w:val="center"/>
          </w:tcPr>
          <w:p w14:paraId="07C0B5EB" w14:textId="77777777" w:rsidR="00A35C6F" w:rsidRPr="00A35C6F" w:rsidRDefault="00A35C6F">
            <w:pPr>
              <w:widowControl w:val="0"/>
              <w:autoSpaceDE w:val="0"/>
              <w:autoSpaceDN w:val="0"/>
              <w:adjustRightInd w:val="0"/>
              <w:jc w:val="both"/>
              <w:rPr>
                <w:rFonts w:ascii="Arial" w:hAnsi="Arial" w:cs="Arial"/>
                <w:b/>
                <w:bCs/>
                <w:sz w:val="40"/>
                <w:szCs w:val="40"/>
              </w:rPr>
            </w:pPr>
            <w:r w:rsidRPr="00A35C6F">
              <w:rPr>
                <w:rFonts w:ascii="Arial" w:hAnsi="Arial" w:cs="Arial"/>
                <w:b/>
                <w:bCs/>
                <w:sz w:val="40"/>
                <w:szCs w:val="40"/>
              </w:rPr>
              <w:t>UBC Updates</w:t>
            </w:r>
          </w:p>
          <w:p w14:paraId="070FB967" w14:textId="77777777" w:rsidR="00A35C6F" w:rsidRDefault="00A35C6F">
            <w:pPr>
              <w:widowControl w:val="0"/>
              <w:autoSpaceDE w:val="0"/>
              <w:autoSpaceDN w:val="0"/>
              <w:adjustRightInd w:val="0"/>
              <w:jc w:val="both"/>
              <w:rPr>
                <w:rFonts w:ascii="Arial" w:hAnsi="Arial" w:cs="Arial"/>
                <w:b/>
                <w:bCs/>
                <w:sz w:val="28"/>
                <w:szCs w:val="28"/>
              </w:rPr>
            </w:pPr>
          </w:p>
          <w:p w14:paraId="0148621E" w14:textId="77777777" w:rsidR="00A35C6F" w:rsidRDefault="00A35C6F">
            <w:pPr>
              <w:widowControl w:val="0"/>
              <w:autoSpaceDE w:val="0"/>
              <w:autoSpaceDN w:val="0"/>
              <w:adjustRightInd w:val="0"/>
              <w:jc w:val="both"/>
              <w:rPr>
                <w:rFonts w:ascii="Arial" w:hAnsi="Arial" w:cs="Arial"/>
              </w:rPr>
            </w:pPr>
            <w:r>
              <w:rPr>
                <w:rFonts w:ascii="Arial" w:hAnsi="Arial" w:cs="Arial"/>
                <w:b/>
                <w:bCs/>
                <w:sz w:val="28"/>
                <w:szCs w:val="28"/>
              </w:rPr>
              <w:t>COVID-19 and the UBC Application process</w:t>
            </w:r>
          </w:p>
        </w:tc>
      </w:tr>
      <w:tr w:rsidR="00A35C6F" w14:paraId="588816CC" w14:textId="77777777" w:rsidTr="00A35C6F">
        <w:tblPrEx>
          <w:tblBorders>
            <w:top w:val="none" w:sz="0" w:space="0" w:color="auto"/>
          </w:tblBorders>
          <w:tblCellMar>
            <w:top w:w="0" w:type="dxa"/>
            <w:left w:w="0" w:type="dxa"/>
            <w:bottom w:w="0" w:type="dxa"/>
            <w:right w:w="0" w:type="dxa"/>
          </w:tblCellMar>
        </w:tblPrEx>
        <w:tc>
          <w:tcPr>
            <w:tcW w:w="9600" w:type="dxa"/>
            <w:tcBorders>
              <w:top w:val="nil"/>
              <w:left w:val="nil"/>
              <w:bottom w:val="nil"/>
              <w:right w:val="nil"/>
            </w:tcBorders>
            <w:tcMar>
              <w:top w:w="200" w:type="nil"/>
              <w:left w:w="200" w:type="nil"/>
              <w:bottom w:w="200" w:type="nil"/>
              <w:right w:w="200" w:type="nil"/>
            </w:tcMar>
            <w:vAlign w:val="center"/>
          </w:tcPr>
          <w:p w14:paraId="0C234985" w14:textId="77777777" w:rsidR="00A35C6F" w:rsidRDefault="00A35C6F">
            <w:pPr>
              <w:widowControl w:val="0"/>
              <w:autoSpaceDE w:val="0"/>
              <w:autoSpaceDN w:val="0"/>
              <w:adjustRightInd w:val="0"/>
              <w:rPr>
                <w:rFonts w:ascii="Arial" w:hAnsi="Arial" w:cs="Arial"/>
                <w:sz w:val="28"/>
                <w:szCs w:val="28"/>
              </w:rPr>
            </w:pPr>
            <w:r>
              <w:rPr>
                <w:rFonts w:ascii="Arial" w:hAnsi="Arial" w:cs="Arial"/>
                <w:sz w:val="28"/>
                <w:szCs w:val="28"/>
              </w:rPr>
              <w:t xml:space="preserve">UBC is working hard to ensure applications are still evaluated fairly, despite disruptions and readjustments due to COVID-19. For regularly updated information on how our admissions process is responding to your student’s changing educational environment, </w:t>
            </w:r>
            <w:hyperlink r:id="rId5" w:history="1">
              <w:r>
                <w:rPr>
                  <w:rFonts w:ascii="Arial" w:hAnsi="Arial" w:cs="Arial"/>
                  <w:color w:val="13478C"/>
                  <w:sz w:val="28"/>
                  <w:szCs w:val="28"/>
                  <w:u w:val="single" w:color="13478C"/>
                </w:rPr>
                <w:t>read this blog post</w:t>
              </w:r>
            </w:hyperlink>
            <w:r>
              <w:rPr>
                <w:rFonts w:ascii="Arial" w:hAnsi="Arial" w:cs="Arial"/>
              </w:rPr>
              <w:t xml:space="preserve"> </w:t>
            </w:r>
            <w:r>
              <w:rPr>
                <w:rFonts w:ascii="Arial" w:hAnsi="Arial" w:cs="Arial"/>
                <w:sz w:val="28"/>
                <w:szCs w:val="28"/>
              </w:rPr>
              <w:t>(it includes a video from our Associate Registrar).</w:t>
            </w:r>
          </w:p>
          <w:p w14:paraId="40C82033" w14:textId="77777777" w:rsidR="00A35C6F" w:rsidRDefault="00A35C6F">
            <w:pPr>
              <w:widowControl w:val="0"/>
              <w:autoSpaceDE w:val="0"/>
              <w:autoSpaceDN w:val="0"/>
              <w:adjustRightInd w:val="0"/>
              <w:rPr>
                <w:rFonts w:ascii="Arial" w:hAnsi="Arial" w:cs="Arial"/>
              </w:rPr>
            </w:pPr>
          </w:p>
        </w:tc>
      </w:tr>
      <w:tr w:rsidR="00A35C6F" w14:paraId="537A03B8" w14:textId="77777777" w:rsidTr="00A35C6F">
        <w:tblPrEx>
          <w:tblBorders>
            <w:top w:val="none" w:sz="0" w:space="0" w:color="auto"/>
          </w:tblBorders>
          <w:tblCellMar>
            <w:top w:w="0" w:type="dxa"/>
            <w:left w:w="0" w:type="dxa"/>
            <w:bottom w:w="0" w:type="dxa"/>
            <w:right w:w="0" w:type="dxa"/>
          </w:tblCellMar>
        </w:tblPrEx>
        <w:tc>
          <w:tcPr>
            <w:tcW w:w="9600" w:type="dxa"/>
            <w:tcBorders>
              <w:top w:val="nil"/>
              <w:left w:val="nil"/>
              <w:bottom w:val="nil"/>
              <w:right w:val="nil"/>
            </w:tcBorders>
            <w:shd w:val="clear" w:color="auto" w:fill="F6F6F6"/>
            <w:tcMar>
              <w:top w:w="200" w:type="nil"/>
              <w:left w:w="100" w:type="nil"/>
              <w:bottom w:w="100" w:type="nil"/>
              <w:right w:w="200" w:type="nil"/>
            </w:tcMar>
            <w:vAlign w:val="center"/>
          </w:tcPr>
          <w:p w14:paraId="77DF7AE1" w14:textId="77777777" w:rsidR="00A35C6F" w:rsidRDefault="00A35C6F">
            <w:pPr>
              <w:widowControl w:val="0"/>
              <w:autoSpaceDE w:val="0"/>
              <w:autoSpaceDN w:val="0"/>
              <w:adjustRightInd w:val="0"/>
              <w:jc w:val="both"/>
              <w:rPr>
                <w:rFonts w:ascii="Arial" w:hAnsi="Arial" w:cs="Arial"/>
              </w:rPr>
            </w:pPr>
            <w:r>
              <w:rPr>
                <w:rFonts w:ascii="Arial" w:hAnsi="Arial" w:cs="Arial"/>
                <w:b/>
                <w:bCs/>
                <w:sz w:val="28"/>
                <w:szCs w:val="28"/>
              </w:rPr>
              <w:t>Maintaining offers of admission</w:t>
            </w:r>
          </w:p>
        </w:tc>
      </w:tr>
      <w:tr w:rsidR="00A35C6F" w14:paraId="3E4A73E2" w14:textId="77777777" w:rsidTr="00A35C6F">
        <w:tblPrEx>
          <w:tblBorders>
            <w:top w:val="none" w:sz="0" w:space="0" w:color="auto"/>
          </w:tblBorders>
          <w:tblCellMar>
            <w:top w:w="0" w:type="dxa"/>
            <w:left w:w="0" w:type="dxa"/>
            <w:bottom w:w="0" w:type="dxa"/>
            <w:right w:w="0" w:type="dxa"/>
          </w:tblCellMar>
        </w:tblPrEx>
        <w:tc>
          <w:tcPr>
            <w:tcW w:w="9600" w:type="dxa"/>
            <w:tcBorders>
              <w:top w:val="nil"/>
              <w:left w:val="nil"/>
              <w:bottom w:val="nil"/>
              <w:right w:val="nil"/>
            </w:tcBorders>
            <w:tcMar>
              <w:top w:w="200" w:type="nil"/>
              <w:left w:w="200" w:type="nil"/>
              <w:bottom w:w="200" w:type="nil"/>
              <w:right w:w="200" w:type="nil"/>
            </w:tcMar>
            <w:vAlign w:val="center"/>
          </w:tcPr>
          <w:p w14:paraId="0AED9EF6" w14:textId="77777777" w:rsidR="00A35C6F" w:rsidRDefault="00A35C6F">
            <w:pPr>
              <w:widowControl w:val="0"/>
              <w:autoSpaceDE w:val="0"/>
              <w:autoSpaceDN w:val="0"/>
              <w:adjustRightInd w:val="0"/>
              <w:rPr>
                <w:rFonts w:ascii="Arial" w:hAnsi="Arial" w:cs="Arial"/>
              </w:rPr>
            </w:pPr>
            <w:r>
              <w:rPr>
                <w:rFonts w:ascii="Arial" w:hAnsi="Arial" w:cs="Arial"/>
                <w:sz w:val="28"/>
                <w:szCs w:val="28"/>
              </w:rPr>
              <w:t>UBC will be as flexible as possible to ensure that your student's application is not disadvantaged by the disruptions caused by COVID-19 (coronavirus).</w:t>
            </w:r>
          </w:p>
          <w:p w14:paraId="58F7F32C" w14:textId="77777777" w:rsidR="00A35C6F" w:rsidRDefault="00A35C6F">
            <w:pPr>
              <w:widowControl w:val="0"/>
              <w:autoSpaceDE w:val="0"/>
              <w:autoSpaceDN w:val="0"/>
              <w:adjustRightInd w:val="0"/>
              <w:rPr>
                <w:rFonts w:ascii="Arial" w:hAnsi="Arial" w:cs="Arial"/>
              </w:rPr>
            </w:pPr>
          </w:p>
          <w:p w14:paraId="3B38B47A" w14:textId="77777777" w:rsidR="00A35C6F" w:rsidRDefault="00A35C6F">
            <w:pPr>
              <w:widowControl w:val="0"/>
              <w:autoSpaceDE w:val="0"/>
              <w:autoSpaceDN w:val="0"/>
              <w:adjustRightInd w:val="0"/>
              <w:rPr>
                <w:rFonts w:ascii="Arial" w:hAnsi="Arial" w:cs="Arial"/>
                <w:sz w:val="28"/>
                <w:szCs w:val="28"/>
              </w:rPr>
            </w:pPr>
            <w:r>
              <w:rPr>
                <w:rFonts w:ascii="Arial" w:hAnsi="Arial" w:cs="Arial"/>
                <w:sz w:val="28"/>
                <w:szCs w:val="28"/>
              </w:rPr>
              <w:t xml:space="preserve">All our offers of admission are conditional on the completion of secondary school, including the courses required for admission. However, we know that schools and exam providers have been affected by COVID-19 and that some students may not be able to take final exams or complete courses. We understand how difficult this is, and we are here to provide support for students. We also want every student to be as academically prepared as possible for their first year at </w:t>
            </w:r>
            <w:proofErr w:type="spellStart"/>
            <w:r>
              <w:rPr>
                <w:rFonts w:ascii="Arial" w:hAnsi="Arial" w:cs="Arial"/>
                <w:sz w:val="28"/>
                <w:szCs w:val="28"/>
              </w:rPr>
              <w:t>UBC.</w:t>
            </w:r>
            <w:hyperlink r:id="rId6" w:history="1">
              <w:r>
                <w:rPr>
                  <w:rFonts w:ascii="Arial" w:hAnsi="Arial" w:cs="Arial"/>
                  <w:color w:val="13478C"/>
                  <w:sz w:val="28"/>
                  <w:szCs w:val="28"/>
                  <w:u w:val="single" w:color="13478C"/>
                </w:rPr>
                <w:t>This</w:t>
              </w:r>
              <w:proofErr w:type="spellEnd"/>
              <w:r>
                <w:rPr>
                  <w:rFonts w:ascii="Arial" w:hAnsi="Arial" w:cs="Arial"/>
                  <w:color w:val="13478C"/>
                  <w:sz w:val="28"/>
                  <w:szCs w:val="28"/>
                  <w:u w:val="single" w:color="13478C"/>
                </w:rPr>
                <w:t xml:space="preserve"> blog post</w:t>
              </w:r>
            </w:hyperlink>
            <w:r>
              <w:rPr>
                <w:rFonts w:ascii="Arial" w:hAnsi="Arial" w:cs="Arial"/>
                <w:sz w:val="28"/>
                <w:szCs w:val="28"/>
              </w:rPr>
              <w:t xml:space="preserve"> provides more details.</w:t>
            </w:r>
          </w:p>
          <w:p w14:paraId="09708FD4" w14:textId="77777777" w:rsidR="00A35C6F" w:rsidRDefault="00A35C6F">
            <w:pPr>
              <w:widowControl w:val="0"/>
              <w:autoSpaceDE w:val="0"/>
              <w:autoSpaceDN w:val="0"/>
              <w:adjustRightInd w:val="0"/>
              <w:rPr>
                <w:rFonts w:ascii="Arial" w:hAnsi="Arial" w:cs="Arial"/>
              </w:rPr>
            </w:pPr>
          </w:p>
        </w:tc>
      </w:tr>
    </w:tbl>
    <w:p w14:paraId="494C83F6" w14:textId="77777777" w:rsidR="00A35C6F" w:rsidRDefault="00A35C6F" w:rsidP="00A35C6F">
      <w:pPr>
        <w:widowControl w:val="0"/>
        <w:autoSpaceDE w:val="0"/>
        <w:autoSpaceDN w:val="0"/>
        <w:adjustRightInd w:val="0"/>
        <w:rPr>
          <w:rFonts w:ascii="Arial" w:hAnsi="Arial" w:cs="Arial"/>
        </w:rPr>
      </w:pPr>
      <w:r>
        <w:rPr>
          <w:rFonts w:ascii="Times" w:hAnsi="Times" w:cs="Times"/>
        </w:rPr>
        <w:t xml:space="preserve"> </w:t>
      </w: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9600"/>
      </w:tblGrid>
      <w:tr w:rsidR="00A35C6F" w14:paraId="23D8DBC6" w14:textId="77777777">
        <w:tblPrEx>
          <w:tblCellMar>
            <w:top w:w="0" w:type="dxa"/>
            <w:left w:w="0" w:type="dxa"/>
            <w:bottom w:w="0" w:type="dxa"/>
            <w:right w:w="0" w:type="dxa"/>
          </w:tblCellMar>
        </w:tblPrEx>
        <w:tc>
          <w:tcPr>
            <w:tcW w:w="9600" w:type="dxa"/>
            <w:tcBorders>
              <w:top w:val="nil"/>
              <w:left w:val="nil"/>
              <w:bottom w:val="nil"/>
              <w:right w:val="nil"/>
            </w:tcBorders>
            <w:shd w:val="clear" w:color="auto" w:fill="F6F6F6"/>
            <w:tcMar>
              <w:top w:w="200" w:type="nil"/>
              <w:left w:w="100" w:type="nil"/>
              <w:bottom w:w="100" w:type="nil"/>
              <w:right w:w="200" w:type="nil"/>
            </w:tcMar>
            <w:vAlign w:val="center"/>
          </w:tcPr>
          <w:p w14:paraId="176F4C90" w14:textId="77777777" w:rsidR="00A35C6F" w:rsidRDefault="00A35C6F">
            <w:pPr>
              <w:widowControl w:val="0"/>
              <w:autoSpaceDE w:val="0"/>
              <w:autoSpaceDN w:val="0"/>
              <w:adjustRightInd w:val="0"/>
              <w:rPr>
                <w:rFonts w:ascii="Arial" w:hAnsi="Arial" w:cs="Arial"/>
              </w:rPr>
            </w:pPr>
            <w:r>
              <w:rPr>
                <w:rFonts w:ascii="Arial" w:hAnsi="Arial" w:cs="Arial"/>
                <w:b/>
                <w:bCs/>
                <w:sz w:val="28"/>
                <w:szCs w:val="28"/>
              </w:rPr>
              <w:t>Deadline to apply for housing</w:t>
            </w:r>
          </w:p>
        </w:tc>
      </w:tr>
      <w:tr w:rsidR="00A35C6F" w14:paraId="31128821" w14:textId="77777777">
        <w:tblPrEx>
          <w:tblCellMar>
            <w:top w:w="0" w:type="dxa"/>
            <w:left w:w="0" w:type="dxa"/>
            <w:bottom w:w="0" w:type="dxa"/>
            <w:right w:w="0" w:type="dxa"/>
          </w:tblCellMar>
        </w:tblPrEx>
        <w:tc>
          <w:tcPr>
            <w:tcW w:w="9600" w:type="dxa"/>
            <w:tcBorders>
              <w:top w:val="nil"/>
              <w:left w:val="nil"/>
              <w:bottom w:val="nil"/>
              <w:right w:val="nil"/>
            </w:tcBorders>
            <w:tcMar>
              <w:top w:w="200" w:type="nil"/>
              <w:left w:w="200" w:type="nil"/>
              <w:bottom w:w="200" w:type="nil"/>
              <w:right w:w="200" w:type="nil"/>
            </w:tcMar>
            <w:vAlign w:val="center"/>
          </w:tcPr>
          <w:p w14:paraId="5173FBE4" w14:textId="77777777" w:rsidR="00A35C6F" w:rsidRDefault="00A35C6F">
            <w:pPr>
              <w:widowControl w:val="0"/>
              <w:autoSpaceDE w:val="0"/>
              <w:autoSpaceDN w:val="0"/>
              <w:adjustRightInd w:val="0"/>
              <w:rPr>
                <w:rFonts w:ascii="Arial" w:hAnsi="Arial" w:cs="Arial"/>
              </w:rPr>
            </w:pPr>
            <w:r>
              <w:rPr>
                <w:rFonts w:ascii="Arial" w:hAnsi="Arial" w:cs="Arial"/>
                <w:sz w:val="28"/>
                <w:szCs w:val="28"/>
              </w:rPr>
              <w:t xml:space="preserve">The deadline to apply for housing at UBC is </w:t>
            </w:r>
            <w:r>
              <w:rPr>
                <w:rFonts w:ascii="Arial" w:hAnsi="Arial" w:cs="Arial"/>
                <w:b/>
                <w:bCs/>
                <w:sz w:val="28"/>
                <w:szCs w:val="28"/>
              </w:rPr>
              <w:t>May 1</w:t>
            </w:r>
            <w:r>
              <w:rPr>
                <w:rFonts w:ascii="Arial" w:hAnsi="Arial" w:cs="Arial"/>
                <w:sz w:val="28"/>
                <w:szCs w:val="28"/>
              </w:rPr>
              <w:t xml:space="preserve">. UBC is continuing to monitor how COVID-19 is evolving in Canada. We anticipate that our residence offers will proceed as normal, and in the event that the situation changes, we’ll let you know through </w:t>
            </w:r>
            <w:hyperlink r:id="rId7" w:history="1">
              <w:r>
                <w:rPr>
                  <w:rFonts w:ascii="Arial" w:hAnsi="Arial" w:cs="Arial"/>
                  <w:color w:val="13478C"/>
                  <w:sz w:val="28"/>
                  <w:szCs w:val="28"/>
                  <w:u w:val="single" w:color="13478C"/>
                </w:rPr>
                <w:t>this blog</w:t>
              </w:r>
            </w:hyperlink>
            <w:r>
              <w:rPr>
                <w:rFonts w:ascii="Arial" w:hAnsi="Arial" w:cs="Arial"/>
                <w:sz w:val="28"/>
                <w:szCs w:val="28"/>
              </w:rPr>
              <w:t xml:space="preserve">, </w:t>
            </w:r>
            <w:hyperlink r:id="rId8" w:history="1">
              <w:r>
                <w:rPr>
                  <w:rFonts w:ascii="Arial" w:hAnsi="Arial" w:cs="Arial"/>
                  <w:color w:val="13478C"/>
                  <w:sz w:val="28"/>
                  <w:szCs w:val="28"/>
                  <w:u w:val="single" w:color="13478C"/>
                </w:rPr>
                <w:t>the UBC website</w:t>
              </w:r>
            </w:hyperlink>
            <w:r>
              <w:rPr>
                <w:rFonts w:ascii="Arial" w:hAnsi="Arial" w:cs="Arial"/>
                <w:sz w:val="28"/>
                <w:szCs w:val="28"/>
              </w:rPr>
              <w:t>, and our social media channels.</w:t>
            </w:r>
          </w:p>
          <w:p w14:paraId="6993462C" w14:textId="77777777" w:rsidR="00A35C6F" w:rsidRDefault="00A35C6F">
            <w:pPr>
              <w:widowControl w:val="0"/>
              <w:autoSpaceDE w:val="0"/>
              <w:autoSpaceDN w:val="0"/>
              <w:adjustRightInd w:val="0"/>
              <w:rPr>
                <w:rFonts w:ascii="Arial" w:hAnsi="Arial" w:cs="Arial"/>
              </w:rPr>
            </w:pPr>
          </w:p>
          <w:p w14:paraId="51F7F8D9" w14:textId="77777777" w:rsidR="00A35C6F" w:rsidRDefault="00A35C6F">
            <w:pPr>
              <w:widowControl w:val="0"/>
              <w:autoSpaceDE w:val="0"/>
              <w:autoSpaceDN w:val="0"/>
              <w:adjustRightInd w:val="0"/>
              <w:rPr>
                <w:rFonts w:ascii="Arial" w:hAnsi="Arial" w:cs="Arial"/>
              </w:rPr>
            </w:pPr>
            <w:r>
              <w:rPr>
                <w:rFonts w:ascii="Arial" w:hAnsi="Arial" w:cs="Arial"/>
                <w:sz w:val="28"/>
                <w:szCs w:val="28"/>
              </w:rPr>
              <w:t>While we are unsure whether the physical distancing guidelines will be completely lifted by August/ September, the safety of students in our priority  and as such we are looking at relevant measures and alternatives.</w:t>
            </w:r>
          </w:p>
        </w:tc>
      </w:tr>
    </w:tbl>
    <w:p w14:paraId="2EFD3806" w14:textId="77777777" w:rsidR="00A35C6F" w:rsidRDefault="00A35C6F" w:rsidP="00A35C6F">
      <w:pPr>
        <w:widowControl w:val="0"/>
        <w:autoSpaceDE w:val="0"/>
        <w:autoSpaceDN w:val="0"/>
        <w:adjustRightInd w:val="0"/>
        <w:rPr>
          <w:rFonts w:ascii="Arial" w:hAnsi="Arial" w:cs="Arial"/>
        </w:rPr>
      </w:pPr>
    </w:p>
    <w:p w14:paraId="435B1672" w14:textId="77777777" w:rsidR="00A35C6F" w:rsidRDefault="00A35C6F" w:rsidP="00A35C6F">
      <w:pPr>
        <w:widowControl w:val="0"/>
        <w:autoSpaceDE w:val="0"/>
        <w:autoSpaceDN w:val="0"/>
        <w:adjustRightInd w:val="0"/>
        <w:rPr>
          <w:rFonts w:ascii="Arial" w:hAnsi="Arial" w:cs="Arial"/>
        </w:rPr>
      </w:pPr>
    </w:p>
    <w:tbl>
      <w:tblPr>
        <w:tblW w:w="96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8748"/>
        <w:gridCol w:w="852"/>
      </w:tblGrid>
      <w:tr w:rsidR="00A35C6F" w14:paraId="720A6A18" w14:textId="77777777" w:rsidTr="00A35C6F">
        <w:tblPrEx>
          <w:tblCellMar>
            <w:top w:w="0" w:type="dxa"/>
            <w:left w:w="0" w:type="dxa"/>
            <w:bottom w:w="0" w:type="dxa"/>
            <w:right w:w="0" w:type="dxa"/>
          </w:tblCellMar>
        </w:tblPrEx>
        <w:tc>
          <w:tcPr>
            <w:tcW w:w="9600" w:type="dxa"/>
            <w:gridSpan w:val="2"/>
            <w:tcBorders>
              <w:top w:val="nil"/>
              <w:left w:val="nil"/>
              <w:bottom w:val="nil"/>
              <w:right w:val="nil"/>
            </w:tcBorders>
            <w:shd w:val="clear" w:color="auto" w:fill="F6F6F6"/>
            <w:tcMar>
              <w:top w:w="200" w:type="nil"/>
              <w:left w:w="100" w:type="nil"/>
              <w:bottom w:w="100" w:type="nil"/>
              <w:right w:w="200" w:type="nil"/>
            </w:tcMar>
            <w:vAlign w:val="center"/>
          </w:tcPr>
          <w:p w14:paraId="1878EC35" w14:textId="77777777" w:rsidR="00A35C6F" w:rsidRDefault="00A35C6F">
            <w:pPr>
              <w:widowControl w:val="0"/>
              <w:autoSpaceDE w:val="0"/>
              <w:autoSpaceDN w:val="0"/>
              <w:adjustRightInd w:val="0"/>
              <w:rPr>
                <w:rFonts w:ascii="Arial" w:hAnsi="Arial" w:cs="Arial"/>
              </w:rPr>
            </w:pPr>
            <w:r>
              <w:rPr>
                <w:rFonts w:ascii="Arial" w:hAnsi="Arial" w:cs="Arial"/>
                <w:b/>
                <w:bCs/>
                <w:sz w:val="28"/>
                <w:szCs w:val="28"/>
              </w:rPr>
              <w:t>Deadline to accept an offer of admission</w:t>
            </w:r>
          </w:p>
        </w:tc>
      </w:tr>
      <w:tr w:rsidR="00A35C6F" w14:paraId="344B431B" w14:textId="77777777" w:rsidTr="00A35C6F">
        <w:tblPrEx>
          <w:tblCellMar>
            <w:top w:w="0" w:type="dxa"/>
            <w:left w:w="0" w:type="dxa"/>
            <w:bottom w:w="0" w:type="dxa"/>
            <w:right w:w="0" w:type="dxa"/>
          </w:tblCellMar>
        </w:tblPrEx>
        <w:tc>
          <w:tcPr>
            <w:tcW w:w="9600" w:type="dxa"/>
            <w:gridSpan w:val="2"/>
            <w:tcBorders>
              <w:top w:val="nil"/>
              <w:left w:val="nil"/>
              <w:bottom w:val="nil"/>
              <w:right w:val="nil"/>
            </w:tcBorders>
            <w:tcMar>
              <w:top w:w="200" w:type="nil"/>
              <w:left w:w="200" w:type="nil"/>
              <w:bottom w:w="200" w:type="nil"/>
              <w:right w:w="200" w:type="nil"/>
            </w:tcMar>
            <w:vAlign w:val="center"/>
          </w:tcPr>
          <w:p w14:paraId="14950771" w14:textId="77777777" w:rsidR="00A35C6F" w:rsidRDefault="00A35C6F">
            <w:pPr>
              <w:widowControl w:val="0"/>
              <w:autoSpaceDE w:val="0"/>
              <w:autoSpaceDN w:val="0"/>
              <w:adjustRightInd w:val="0"/>
              <w:rPr>
                <w:rFonts w:ascii="Arial" w:hAnsi="Arial" w:cs="Arial"/>
              </w:rPr>
            </w:pPr>
            <w:r>
              <w:rPr>
                <w:rFonts w:ascii="Arial" w:hAnsi="Arial" w:cs="Arial"/>
                <w:sz w:val="28"/>
                <w:szCs w:val="28"/>
              </w:rPr>
              <w:t xml:space="preserve">For most students, the deadline to accept an offer of admission is either </w:t>
            </w:r>
            <w:r>
              <w:rPr>
                <w:rFonts w:ascii="Arial" w:hAnsi="Arial" w:cs="Arial"/>
                <w:b/>
                <w:bCs/>
                <w:sz w:val="28"/>
                <w:szCs w:val="28"/>
              </w:rPr>
              <w:t>May 1</w:t>
            </w:r>
            <w:r>
              <w:rPr>
                <w:rFonts w:ascii="Arial" w:hAnsi="Arial" w:cs="Arial"/>
                <w:sz w:val="28"/>
                <w:szCs w:val="28"/>
              </w:rPr>
              <w:t xml:space="preserve"> or </w:t>
            </w:r>
            <w:r>
              <w:rPr>
                <w:rFonts w:ascii="Arial" w:hAnsi="Arial" w:cs="Arial"/>
                <w:b/>
                <w:bCs/>
                <w:sz w:val="28"/>
                <w:szCs w:val="28"/>
              </w:rPr>
              <w:t>June 1</w:t>
            </w:r>
            <w:r>
              <w:rPr>
                <w:rFonts w:ascii="Arial" w:hAnsi="Arial" w:cs="Arial"/>
                <w:sz w:val="28"/>
                <w:szCs w:val="28"/>
              </w:rPr>
              <w:t>. Students should refer to the date specified in their letter of admission. Offers can be accepted through the </w:t>
            </w:r>
            <w:hyperlink r:id="rId9" w:history="1">
              <w:r>
                <w:rPr>
                  <w:rFonts w:ascii="Arial" w:hAnsi="Arial" w:cs="Arial"/>
                  <w:color w:val="13478C"/>
                  <w:sz w:val="28"/>
                  <w:szCs w:val="28"/>
                  <w:u w:val="single" w:color="13478C"/>
                </w:rPr>
                <w:t>Student Service Centre</w:t>
              </w:r>
            </w:hyperlink>
            <w:r>
              <w:rPr>
                <w:rFonts w:ascii="Arial" w:hAnsi="Arial" w:cs="Arial"/>
                <w:sz w:val="28"/>
                <w:szCs w:val="28"/>
              </w:rPr>
              <w:t>. </w:t>
            </w:r>
          </w:p>
        </w:tc>
      </w:tr>
      <w:tr w:rsidR="00A35C6F" w14:paraId="552DD41A" w14:textId="77777777" w:rsidTr="00A35C6F">
        <w:tblPrEx>
          <w:tblCellMar>
            <w:top w:w="0" w:type="dxa"/>
            <w:left w:w="0" w:type="dxa"/>
            <w:bottom w:w="0" w:type="dxa"/>
            <w:right w:w="0" w:type="dxa"/>
          </w:tblCellMar>
        </w:tblPrEx>
        <w:trPr>
          <w:gridAfter w:val="1"/>
          <w:wAfter w:w="852" w:type="dxa"/>
        </w:trPr>
        <w:tc>
          <w:tcPr>
            <w:tcW w:w="8748" w:type="dxa"/>
            <w:tcBorders>
              <w:top w:val="nil"/>
              <w:left w:val="nil"/>
              <w:bottom w:val="nil"/>
              <w:right w:val="nil"/>
            </w:tcBorders>
            <w:vAlign w:val="center"/>
          </w:tcPr>
          <w:p w14:paraId="2B4A1C56" w14:textId="77777777" w:rsidR="00A35C6F" w:rsidRDefault="00A35C6F">
            <w:pPr>
              <w:widowControl w:val="0"/>
              <w:autoSpaceDE w:val="0"/>
              <w:autoSpaceDN w:val="0"/>
              <w:adjustRightInd w:val="0"/>
              <w:rPr>
                <w:rFonts w:ascii="Arial" w:hAnsi="Arial" w:cs="Arial"/>
              </w:rPr>
            </w:pPr>
          </w:p>
        </w:tc>
      </w:tr>
    </w:tbl>
    <w:p w14:paraId="5A2EC083" w14:textId="77777777" w:rsidR="00A35C6F" w:rsidRDefault="00A35C6F" w:rsidP="00A35C6F">
      <w:pPr>
        <w:widowControl w:val="0"/>
        <w:autoSpaceDE w:val="0"/>
        <w:autoSpaceDN w:val="0"/>
        <w:adjustRightInd w:val="0"/>
        <w:rPr>
          <w:rFonts w:ascii="Times" w:hAnsi="Times" w:cs="Times"/>
        </w:rPr>
      </w:pPr>
    </w:p>
    <w:p w14:paraId="4E9C3DFA" w14:textId="77777777" w:rsidR="00A35C6F" w:rsidRDefault="00A35C6F" w:rsidP="00A35C6F">
      <w:pPr>
        <w:widowControl w:val="0"/>
        <w:autoSpaceDE w:val="0"/>
        <w:autoSpaceDN w:val="0"/>
        <w:adjustRightInd w:val="0"/>
        <w:rPr>
          <w:rFonts w:ascii="Times" w:hAnsi="Times" w:cs="Times"/>
        </w:rPr>
      </w:pPr>
    </w:p>
    <w:p w14:paraId="5B02783C" w14:textId="77777777" w:rsidR="00A35C6F" w:rsidRDefault="00A35C6F" w:rsidP="00A35C6F">
      <w:pPr>
        <w:widowControl w:val="0"/>
        <w:autoSpaceDE w:val="0"/>
        <w:autoSpaceDN w:val="0"/>
        <w:adjustRightInd w:val="0"/>
        <w:rPr>
          <w:rFonts w:ascii="Arial" w:hAnsi="Arial" w:cs="Arial"/>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9600"/>
      </w:tblGrid>
      <w:tr w:rsidR="00A35C6F" w14:paraId="0174FBA6" w14:textId="77777777">
        <w:tblPrEx>
          <w:tblCellMar>
            <w:top w:w="0" w:type="dxa"/>
            <w:left w:w="0" w:type="dxa"/>
            <w:bottom w:w="0" w:type="dxa"/>
            <w:right w:w="0" w:type="dxa"/>
          </w:tblCellMar>
        </w:tblPrEx>
        <w:tc>
          <w:tcPr>
            <w:tcW w:w="9600" w:type="dxa"/>
            <w:tcBorders>
              <w:top w:val="nil"/>
              <w:left w:val="nil"/>
              <w:bottom w:val="nil"/>
              <w:right w:val="nil"/>
            </w:tcBorders>
            <w:shd w:val="clear" w:color="auto" w:fill="F6F6F6"/>
            <w:tcMar>
              <w:top w:w="200" w:type="nil"/>
              <w:left w:w="100" w:type="nil"/>
              <w:bottom w:w="100" w:type="nil"/>
              <w:right w:w="200" w:type="nil"/>
            </w:tcMar>
            <w:vAlign w:val="center"/>
          </w:tcPr>
          <w:p w14:paraId="08CB7C87" w14:textId="77777777" w:rsidR="00A35C6F" w:rsidRDefault="00A35C6F">
            <w:pPr>
              <w:widowControl w:val="0"/>
              <w:autoSpaceDE w:val="0"/>
              <w:autoSpaceDN w:val="0"/>
              <w:adjustRightInd w:val="0"/>
              <w:rPr>
                <w:rFonts w:ascii="Arial" w:hAnsi="Arial" w:cs="Arial"/>
              </w:rPr>
            </w:pPr>
            <w:r>
              <w:rPr>
                <w:rFonts w:ascii="Arial" w:hAnsi="Arial" w:cs="Arial"/>
                <w:b/>
                <w:bCs/>
                <w:sz w:val="28"/>
                <w:szCs w:val="28"/>
              </w:rPr>
              <w:t>Registration deposit deferral for Aboriginal applicants</w:t>
            </w:r>
          </w:p>
        </w:tc>
      </w:tr>
    </w:tbl>
    <w:p w14:paraId="7FE6B00B" w14:textId="77777777" w:rsidR="00A35C6F" w:rsidRDefault="00A35C6F" w:rsidP="00A35C6F">
      <w:pPr>
        <w:widowControl w:val="0"/>
        <w:autoSpaceDE w:val="0"/>
        <w:autoSpaceDN w:val="0"/>
        <w:adjustRightInd w:val="0"/>
        <w:rPr>
          <w:rFonts w:ascii="Arial" w:hAnsi="Arial" w:cs="Arial"/>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9600"/>
      </w:tblGrid>
      <w:tr w:rsidR="00A35C6F" w14:paraId="51E7A2E6" w14:textId="77777777">
        <w:tblPrEx>
          <w:tblCellMar>
            <w:top w:w="0" w:type="dxa"/>
            <w:left w:w="0" w:type="dxa"/>
            <w:bottom w:w="0" w:type="dxa"/>
            <w:right w:w="0" w:type="dxa"/>
          </w:tblCellMar>
        </w:tblPrEx>
        <w:tc>
          <w:tcPr>
            <w:tcW w:w="9600" w:type="dxa"/>
            <w:tcBorders>
              <w:top w:val="nil"/>
              <w:left w:val="nil"/>
              <w:bottom w:val="nil"/>
              <w:right w:val="nil"/>
            </w:tcBorders>
            <w:tcMar>
              <w:top w:w="200" w:type="nil"/>
              <w:left w:w="200" w:type="nil"/>
              <w:bottom w:w="200" w:type="nil"/>
              <w:right w:w="200" w:type="nil"/>
            </w:tcMar>
            <w:vAlign w:val="center"/>
          </w:tcPr>
          <w:p w14:paraId="4FFCA4A9" w14:textId="77777777" w:rsidR="00A35C6F" w:rsidRDefault="00A35C6F">
            <w:pPr>
              <w:widowControl w:val="0"/>
              <w:autoSpaceDE w:val="0"/>
              <w:autoSpaceDN w:val="0"/>
              <w:adjustRightInd w:val="0"/>
              <w:rPr>
                <w:rFonts w:ascii="Arial" w:hAnsi="Arial" w:cs="Arial"/>
                <w:sz w:val="28"/>
                <w:szCs w:val="28"/>
              </w:rPr>
            </w:pPr>
            <w:r>
              <w:rPr>
                <w:rFonts w:ascii="Arial" w:hAnsi="Arial" w:cs="Arial"/>
                <w:sz w:val="28"/>
                <w:szCs w:val="28"/>
              </w:rPr>
              <w:t>If a student self-identifies as an Aboriginal person of Canada in their UBC application, their registration deposit will be automatically deferred. This is part of UBC’s effort to support students who are being funded by third parties, including their band or Nation. Our </w:t>
            </w:r>
            <w:hyperlink r:id="rId10" w:history="1">
              <w:r>
                <w:rPr>
                  <w:rFonts w:ascii="Arial" w:hAnsi="Arial" w:cs="Arial"/>
                  <w:color w:val="13478C"/>
                  <w:sz w:val="28"/>
                  <w:szCs w:val="28"/>
                  <w:u w:val="single" w:color="13478C"/>
                </w:rPr>
                <w:t>What you need to know about registration deposit deferrals</w:t>
              </w:r>
            </w:hyperlink>
            <w:r>
              <w:rPr>
                <w:rFonts w:ascii="Arial" w:hAnsi="Arial" w:cs="Arial"/>
                <w:sz w:val="28"/>
                <w:szCs w:val="28"/>
              </w:rPr>
              <w:t> blog post covers everything you need to know about deferrals for all students.</w:t>
            </w:r>
          </w:p>
          <w:p w14:paraId="2A45C6C8" w14:textId="77777777" w:rsidR="00A35C6F" w:rsidRDefault="00A35C6F">
            <w:pPr>
              <w:widowControl w:val="0"/>
              <w:autoSpaceDE w:val="0"/>
              <w:autoSpaceDN w:val="0"/>
              <w:adjustRightInd w:val="0"/>
              <w:rPr>
                <w:rFonts w:ascii="Arial" w:hAnsi="Arial" w:cs="Arial"/>
              </w:rPr>
            </w:pPr>
          </w:p>
        </w:tc>
      </w:tr>
    </w:tbl>
    <w:p w14:paraId="3E612CE5" w14:textId="77777777" w:rsidR="00A35C6F" w:rsidRDefault="00A35C6F" w:rsidP="00A35C6F">
      <w:pPr>
        <w:widowControl w:val="0"/>
        <w:autoSpaceDE w:val="0"/>
        <w:autoSpaceDN w:val="0"/>
        <w:adjustRightInd w:val="0"/>
        <w:rPr>
          <w:rFonts w:ascii="Arial" w:hAnsi="Arial" w:cs="Arial"/>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9600"/>
      </w:tblGrid>
      <w:tr w:rsidR="00A35C6F" w14:paraId="040475FE" w14:textId="77777777" w:rsidTr="00A35C6F">
        <w:tblPrEx>
          <w:tblCellMar>
            <w:top w:w="0" w:type="dxa"/>
            <w:left w:w="0" w:type="dxa"/>
            <w:bottom w:w="0" w:type="dxa"/>
            <w:right w:w="0" w:type="dxa"/>
          </w:tblCellMar>
        </w:tblPrEx>
        <w:trPr>
          <w:trHeight w:val="279"/>
        </w:trPr>
        <w:tc>
          <w:tcPr>
            <w:tcW w:w="9600" w:type="dxa"/>
            <w:tcBorders>
              <w:top w:val="nil"/>
              <w:left w:val="nil"/>
              <w:bottom w:val="nil"/>
              <w:right w:val="nil"/>
            </w:tcBorders>
            <w:shd w:val="clear" w:color="auto" w:fill="F6F6F6"/>
            <w:tcMar>
              <w:top w:w="200" w:type="nil"/>
              <w:left w:w="100" w:type="nil"/>
              <w:bottom w:w="100" w:type="nil"/>
              <w:right w:w="200" w:type="nil"/>
            </w:tcMar>
            <w:vAlign w:val="center"/>
          </w:tcPr>
          <w:p w14:paraId="310410C7" w14:textId="77777777" w:rsidR="00A35C6F" w:rsidRDefault="00A35C6F">
            <w:pPr>
              <w:widowControl w:val="0"/>
              <w:autoSpaceDE w:val="0"/>
              <w:autoSpaceDN w:val="0"/>
              <w:adjustRightInd w:val="0"/>
              <w:rPr>
                <w:rFonts w:ascii="Arial" w:hAnsi="Arial" w:cs="Arial"/>
              </w:rPr>
            </w:pPr>
            <w:r>
              <w:rPr>
                <w:rFonts w:ascii="Arial" w:hAnsi="Arial" w:cs="Arial"/>
                <w:b/>
                <w:bCs/>
                <w:sz w:val="28"/>
                <w:szCs w:val="28"/>
              </w:rPr>
              <w:t>Supporting students through their next steps</w:t>
            </w:r>
          </w:p>
        </w:tc>
      </w:tr>
    </w:tbl>
    <w:p w14:paraId="3A2F40A1" w14:textId="77777777" w:rsidR="00A35C6F" w:rsidRDefault="00A35C6F" w:rsidP="00A35C6F">
      <w:pPr>
        <w:widowControl w:val="0"/>
        <w:autoSpaceDE w:val="0"/>
        <w:autoSpaceDN w:val="0"/>
        <w:adjustRightInd w:val="0"/>
        <w:rPr>
          <w:rFonts w:ascii="Arial" w:hAnsi="Arial" w:cs="Arial"/>
        </w:rPr>
      </w:pPr>
    </w:p>
    <w:tbl>
      <w:tblPr>
        <w:tblW w:w="0" w:type="auto"/>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9600"/>
      </w:tblGrid>
      <w:tr w:rsidR="00A35C6F" w14:paraId="35A9EA63" w14:textId="77777777">
        <w:tblPrEx>
          <w:tblCellMar>
            <w:top w:w="0" w:type="dxa"/>
            <w:left w:w="0" w:type="dxa"/>
            <w:bottom w:w="0" w:type="dxa"/>
            <w:right w:w="0" w:type="dxa"/>
          </w:tblCellMar>
        </w:tblPrEx>
        <w:tc>
          <w:tcPr>
            <w:tcW w:w="9600" w:type="dxa"/>
            <w:tcBorders>
              <w:top w:val="nil"/>
              <w:left w:val="nil"/>
              <w:bottom w:val="nil"/>
              <w:right w:val="nil"/>
            </w:tcBorders>
            <w:tcMar>
              <w:top w:w="200" w:type="nil"/>
              <w:left w:w="200" w:type="nil"/>
              <w:bottom w:w="200" w:type="nil"/>
              <w:right w:w="200" w:type="nil"/>
            </w:tcMar>
            <w:vAlign w:val="center"/>
          </w:tcPr>
          <w:p w14:paraId="41CF3289" w14:textId="77777777" w:rsidR="00A35C6F" w:rsidRDefault="00A35C6F">
            <w:pPr>
              <w:widowControl w:val="0"/>
              <w:autoSpaceDE w:val="0"/>
              <w:autoSpaceDN w:val="0"/>
              <w:adjustRightInd w:val="0"/>
              <w:rPr>
                <w:rFonts w:ascii="Arial" w:hAnsi="Arial" w:cs="Arial"/>
              </w:rPr>
            </w:pPr>
            <w:r>
              <w:rPr>
                <w:rFonts w:ascii="Arial" w:hAnsi="Arial" w:cs="Arial"/>
                <w:sz w:val="28"/>
                <w:szCs w:val="28"/>
              </w:rPr>
              <w:t>Usually we would have been meeting with students through a series of Spring events. Though we are unable to meet physically our advisors are hosting virtual sessions to connect with students and introduce them to life at UBC.</w:t>
            </w:r>
          </w:p>
          <w:p w14:paraId="44D287A3" w14:textId="77777777" w:rsidR="00A35C6F" w:rsidRDefault="00A35C6F">
            <w:pPr>
              <w:widowControl w:val="0"/>
              <w:autoSpaceDE w:val="0"/>
              <w:autoSpaceDN w:val="0"/>
              <w:adjustRightInd w:val="0"/>
              <w:rPr>
                <w:rFonts w:ascii="Arial" w:hAnsi="Arial" w:cs="Arial"/>
              </w:rPr>
            </w:pPr>
          </w:p>
          <w:p w14:paraId="5BAA5832" w14:textId="77777777" w:rsidR="00A35C6F" w:rsidRDefault="00A35C6F">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sz w:val="28"/>
                <w:szCs w:val="28"/>
              </w:rPr>
              <w:t xml:space="preserve">Admitted students can speak with an advisor on Wednesdays (8 am - 7 pm PDT) and Fridays (8 am - 4 pm PDT) </w:t>
            </w:r>
            <w:r>
              <w:rPr>
                <w:rFonts w:ascii="Arial" w:hAnsi="Arial" w:cs="Arial"/>
                <w:b/>
                <w:bCs/>
                <w:sz w:val="28"/>
                <w:szCs w:val="28"/>
              </w:rPr>
              <w:t>until the end of May</w:t>
            </w:r>
            <w:r>
              <w:rPr>
                <w:rFonts w:ascii="Arial" w:hAnsi="Arial" w:cs="Arial"/>
                <w:sz w:val="28"/>
                <w:szCs w:val="28"/>
              </w:rPr>
              <w:t>. Students will receive an invitation to register for sessions via email</w:t>
            </w:r>
          </w:p>
          <w:p w14:paraId="31066A27" w14:textId="77777777" w:rsidR="00A35C6F" w:rsidRDefault="00A35C6F">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sz w:val="28"/>
                <w:szCs w:val="28"/>
              </w:rPr>
              <w:t xml:space="preserve">We will be hosting a series of </w:t>
            </w:r>
            <w:hyperlink r:id="rId11" w:history="1">
              <w:r>
                <w:rPr>
                  <w:rFonts w:ascii="Arial" w:hAnsi="Arial" w:cs="Arial"/>
                  <w:color w:val="13478C"/>
                  <w:sz w:val="28"/>
                  <w:szCs w:val="28"/>
                  <w:u w:val="single" w:color="13478C"/>
                </w:rPr>
                <w:t>virtual information sessions</w:t>
              </w:r>
            </w:hyperlink>
            <w:r>
              <w:rPr>
                <w:rFonts w:ascii="Arial" w:hAnsi="Arial" w:cs="Arial"/>
                <w:sz w:val="28"/>
                <w:szCs w:val="28"/>
              </w:rPr>
              <w:t xml:space="preserve"> for admitted students with topics ranging from finances and awards to student life. These sessions began on </w:t>
            </w:r>
            <w:r>
              <w:rPr>
                <w:rFonts w:ascii="Arial" w:hAnsi="Arial" w:cs="Arial"/>
                <w:b/>
                <w:bCs/>
                <w:sz w:val="28"/>
                <w:szCs w:val="28"/>
              </w:rPr>
              <w:t>April 14, 2020</w:t>
            </w:r>
            <w:r>
              <w:rPr>
                <w:rFonts w:ascii="Arial" w:hAnsi="Arial" w:cs="Arial"/>
                <w:sz w:val="28"/>
                <w:szCs w:val="28"/>
              </w:rPr>
              <w:t>. Students will also be informed via email.</w:t>
            </w:r>
          </w:p>
          <w:p w14:paraId="5E233AE6" w14:textId="77777777" w:rsidR="00A35C6F" w:rsidRPr="00A35C6F" w:rsidRDefault="00A35C6F">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sz w:val="28"/>
                <w:szCs w:val="28"/>
              </w:rPr>
              <w:t xml:space="preserve">Virtual sessions for prospective students will begin in </w:t>
            </w:r>
            <w:r>
              <w:rPr>
                <w:rFonts w:ascii="Arial" w:hAnsi="Arial" w:cs="Arial"/>
                <w:b/>
                <w:bCs/>
                <w:sz w:val="28"/>
                <w:szCs w:val="28"/>
              </w:rPr>
              <w:t>June</w:t>
            </w:r>
            <w:r>
              <w:rPr>
                <w:rFonts w:ascii="Arial" w:hAnsi="Arial" w:cs="Arial"/>
                <w:sz w:val="28"/>
                <w:szCs w:val="28"/>
              </w:rPr>
              <w:t>.</w:t>
            </w:r>
          </w:p>
          <w:p w14:paraId="08977681" w14:textId="77777777" w:rsidR="00A35C6F" w:rsidRDefault="00A35C6F">
            <w:pPr>
              <w:widowControl w:val="0"/>
              <w:numPr>
                <w:ilvl w:val="0"/>
                <w:numId w:val="1"/>
              </w:numPr>
              <w:tabs>
                <w:tab w:val="left" w:pos="220"/>
                <w:tab w:val="left" w:pos="720"/>
              </w:tabs>
              <w:autoSpaceDE w:val="0"/>
              <w:autoSpaceDN w:val="0"/>
              <w:adjustRightInd w:val="0"/>
              <w:ind w:hanging="720"/>
              <w:rPr>
                <w:rFonts w:ascii="Arial" w:hAnsi="Arial" w:cs="Arial"/>
              </w:rPr>
            </w:pPr>
          </w:p>
        </w:tc>
      </w:tr>
      <w:tr w:rsidR="00A35C6F" w14:paraId="380BF847" w14:textId="77777777">
        <w:tblPrEx>
          <w:tblBorders>
            <w:top w:val="none" w:sz="0" w:space="0" w:color="auto"/>
          </w:tblBorders>
          <w:tblCellMar>
            <w:top w:w="0" w:type="dxa"/>
            <w:left w:w="0" w:type="dxa"/>
            <w:bottom w:w="0" w:type="dxa"/>
            <w:right w:w="0" w:type="dxa"/>
          </w:tblCellMar>
        </w:tblPrEx>
        <w:tc>
          <w:tcPr>
            <w:tcW w:w="9600" w:type="dxa"/>
            <w:tcBorders>
              <w:top w:val="nil"/>
              <w:left w:val="nil"/>
              <w:bottom w:val="nil"/>
              <w:right w:val="nil"/>
            </w:tcBorders>
            <w:shd w:val="clear" w:color="auto" w:fill="F6F6F6"/>
            <w:tcMar>
              <w:top w:w="200" w:type="nil"/>
              <w:left w:w="100" w:type="nil"/>
              <w:bottom w:w="100" w:type="nil"/>
              <w:right w:w="200" w:type="nil"/>
            </w:tcMar>
            <w:vAlign w:val="center"/>
          </w:tcPr>
          <w:p w14:paraId="5291A24B" w14:textId="77777777" w:rsidR="00A35C6F" w:rsidRDefault="00A35C6F">
            <w:pPr>
              <w:widowControl w:val="0"/>
              <w:autoSpaceDE w:val="0"/>
              <w:autoSpaceDN w:val="0"/>
              <w:adjustRightInd w:val="0"/>
              <w:rPr>
                <w:rFonts w:ascii="Arial" w:hAnsi="Arial" w:cs="Arial"/>
              </w:rPr>
            </w:pPr>
            <w:r>
              <w:rPr>
                <w:rFonts w:ascii="Arial" w:hAnsi="Arial" w:cs="Arial"/>
                <w:b/>
                <w:bCs/>
                <w:sz w:val="28"/>
                <w:szCs w:val="28"/>
              </w:rPr>
              <w:t>Budgeting for first year</w:t>
            </w:r>
          </w:p>
        </w:tc>
      </w:tr>
      <w:tr w:rsidR="00A35C6F" w14:paraId="0EBDA141" w14:textId="77777777">
        <w:tblPrEx>
          <w:tblBorders>
            <w:top w:val="none" w:sz="0" w:space="0" w:color="auto"/>
          </w:tblBorders>
          <w:tblCellMar>
            <w:top w:w="0" w:type="dxa"/>
            <w:left w:w="0" w:type="dxa"/>
            <w:bottom w:w="0" w:type="dxa"/>
            <w:right w:w="0" w:type="dxa"/>
          </w:tblCellMar>
        </w:tblPrEx>
        <w:tc>
          <w:tcPr>
            <w:tcW w:w="9600" w:type="dxa"/>
            <w:tcBorders>
              <w:top w:val="nil"/>
              <w:left w:val="nil"/>
              <w:bottom w:val="nil"/>
              <w:right w:val="nil"/>
            </w:tcBorders>
            <w:tcMar>
              <w:top w:w="200" w:type="nil"/>
              <w:left w:w="200" w:type="nil"/>
              <w:bottom w:w="200" w:type="nil"/>
              <w:right w:w="200" w:type="nil"/>
            </w:tcMar>
            <w:vAlign w:val="center"/>
          </w:tcPr>
          <w:p w14:paraId="3E409E40" w14:textId="77777777" w:rsidR="00A35C6F" w:rsidRDefault="00A35C6F">
            <w:pPr>
              <w:widowControl w:val="0"/>
              <w:autoSpaceDE w:val="0"/>
              <w:autoSpaceDN w:val="0"/>
              <w:adjustRightInd w:val="0"/>
              <w:rPr>
                <w:rFonts w:ascii="Arial" w:hAnsi="Arial" w:cs="Arial"/>
              </w:rPr>
            </w:pPr>
            <w:r>
              <w:rPr>
                <w:rFonts w:ascii="Arial" w:hAnsi="Arial" w:cs="Arial"/>
                <w:sz w:val="28"/>
                <w:szCs w:val="28"/>
              </w:rPr>
              <w:t>We know that this is going to be a particularly difficult year for financing a student's education, and we're encouraging students to speak with an advisor to discuss the development of an individualized financing plan.</w:t>
            </w:r>
          </w:p>
          <w:p w14:paraId="5003CAA6" w14:textId="77777777" w:rsidR="00A35C6F" w:rsidRDefault="00A35C6F">
            <w:pPr>
              <w:widowControl w:val="0"/>
              <w:autoSpaceDE w:val="0"/>
              <w:autoSpaceDN w:val="0"/>
              <w:adjustRightInd w:val="0"/>
              <w:rPr>
                <w:rFonts w:ascii="Arial" w:hAnsi="Arial" w:cs="Arial"/>
              </w:rPr>
            </w:pPr>
          </w:p>
          <w:p w14:paraId="3C82347F" w14:textId="77777777" w:rsidR="00A35C6F" w:rsidRDefault="00A35C6F">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sz w:val="28"/>
                <w:szCs w:val="28"/>
              </w:rPr>
              <w:t xml:space="preserve">For the Vancouver campus: </w:t>
            </w:r>
            <w:hyperlink r:id="rId12" w:history="1">
              <w:r>
                <w:rPr>
                  <w:rFonts w:ascii="Arial" w:hAnsi="Arial" w:cs="Arial"/>
                  <w:color w:val="13478C"/>
                  <w:sz w:val="28"/>
                  <w:szCs w:val="28"/>
                  <w:u w:val="single" w:color="13478C"/>
                </w:rPr>
                <w:t>Enrolment Services Advisors</w:t>
              </w:r>
            </w:hyperlink>
          </w:p>
          <w:p w14:paraId="6A24BF15" w14:textId="77777777" w:rsidR="00A35C6F" w:rsidRDefault="00A35C6F">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sz w:val="28"/>
                <w:szCs w:val="28"/>
              </w:rPr>
              <w:t xml:space="preserve">For the Okanagan campus: </w:t>
            </w:r>
            <w:hyperlink r:id="rId13" w:history="1">
              <w:r>
                <w:rPr>
                  <w:rFonts w:ascii="Arial" w:hAnsi="Arial" w:cs="Arial"/>
                  <w:color w:val="13478C"/>
                  <w:sz w:val="28"/>
                  <w:szCs w:val="28"/>
                  <w:u w:val="single" w:color="13478C"/>
                </w:rPr>
                <w:t>Student Services</w:t>
              </w:r>
            </w:hyperlink>
          </w:p>
          <w:p w14:paraId="1EC36564" w14:textId="77777777" w:rsidR="00A35C6F" w:rsidRDefault="00A35C6F">
            <w:pPr>
              <w:widowControl w:val="0"/>
              <w:autoSpaceDE w:val="0"/>
              <w:autoSpaceDN w:val="0"/>
              <w:adjustRightInd w:val="0"/>
              <w:rPr>
                <w:rFonts w:ascii="Arial" w:hAnsi="Arial" w:cs="Arial"/>
              </w:rPr>
            </w:pPr>
          </w:p>
          <w:p w14:paraId="49158239" w14:textId="77777777" w:rsidR="00A35C6F" w:rsidRDefault="00A35C6F">
            <w:pPr>
              <w:widowControl w:val="0"/>
              <w:autoSpaceDE w:val="0"/>
              <w:autoSpaceDN w:val="0"/>
              <w:adjustRightInd w:val="0"/>
              <w:rPr>
                <w:rFonts w:ascii="Arial" w:hAnsi="Arial" w:cs="Arial"/>
              </w:rPr>
            </w:pPr>
            <w:r>
              <w:rPr>
                <w:rFonts w:ascii="Arial" w:hAnsi="Arial" w:cs="Arial"/>
                <w:sz w:val="28"/>
                <w:szCs w:val="28"/>
              </w:rPr>
              <w:t>Some other resources open to students and their families are:</w:t>
            </w:r>
          </w:p>
          <w:p w14:paraId="593196D4" w14:textId="77777777" w:rsidR="00A35C6F" w:rsidRDefault="00A35C6F">
            <w:pPr>
              <w:widowControl w:val="0"/>
              <w:numPr>
                <w:ilvl w:val="0"/>
                <w:numId w:val="3"/>
              </w:numPr>
              <w:tabs>
                <w:tab w:val="left" w:pos="220"/>
                <w:tab w:val="left" w:pos="720"/>
              </w:tabs>
              <w:autoSpaceDE w:val="0"/>
              <w:autoSpaceDN w:val="0"/>
              <w:adjustRightInd w:val="0"/>
              <w:ind w:hanging="720"/>
              <w:rPr>
                <w:rFonts w:ascii="Arial" w:hAnsi="Arial" w:cs="Arial"/>
              </w:rPr>
            </w:pPr>
            <w:hyperlink r:id="rId14" w:history="1">
              <w:r>
                <w:rPr>
                  <w:rFonts w:ascii="Arial" w:hAnsi="Arial" w:cs="Arial"/>
                  <w:color w:val="13478C"/>
                  <w:u w:val="single"/>
                </w:rPr>
                <w:t xml:space="preserve">UBC </w:t>
              </w:r>
            </w:hyperlink>
            <w:hyperlink r:id="rId15" w:history="1">
              <w:r>
                <w:rPr>
                  <w:rFonts w:ascii="Arial" w:hAnsi="Arial" w:cs="Arial"/>
                  <w:color w:val="13478C"/>
                  <w:sz w:val="28"/>
                  <w:szCs w:val="28"/>
                  <w:u w:val="single"/>
                </w:rPr>
                <w:t>online cost calculator</w:t>
              </w:r>
            </w:hyperlink>
          </w:p>
          <w:p w14:paraId="5E741FDA" w14:textId="77777777" w:rsidR="00A35C6F" w:rsidRDefault="00A35C6F">
            <w:pPr>
              <w:widowControl w:val="0"/>
              <w:numPr>
                <w:ilvl w:val="0"/>
                <w:numId w:val="3"/>
              </w:numPr>
              <w:tabs>
                <w:tab w:val="left" w:pos="220"/>
                <w:tab w:val="left" w:pos="720"/>
              </w:tabs>
              <w:autoSpaceDE w:val="0"/>
              <w:autoSpaceDN w:val="0"/>
              <w:adjustRightInd w:val="0"/>
              <w:ind w:hanging="720"/>
              <w:rPr>
                <w:rFonts w:ascii="Arial" w:hAnsi="Arial" w:cs="Arial"/>
              </w:rPr>
            </w:pPr>
            <w:hyperlink r:id="rId16" w:history="1">
              <w:r>
                <w:rPr>
                  <w:rFonts w:ascii="Arial" w:hAnsi="Arial" w:cs="Arial"/>
                  <w:color w:val="13478C"/>
                  <w:sz w:val="28"/>
                  <w:szCs w:val="28"/>
                  <w:u w:val="single"/>
                </w:rPr>
                <w:t>Government Student Loans</w:t>
              </w:r>
            </w:hyperlink>
          </w:p>
          <w:p w14:paraId="27F6CA0F" w14:textId="77777777" w:rsidR="00A35C6F" w:rsidRDefault="00A35C6F">
            <w:pPr>
              <w:widowControl w:val="0"/>
              <w:numPr>
                <w:ilvl w:val="0"/>
                <w:numId w:val="3"/>
              </w:numPr>
              <w:tabs>
                <w:tab w:val="left" w:pos="220"/>
                <w:tab w:val="left" w:pos="720"/>
              </w:tabs>
              <w:autoSpaceDE w:val="0"/>
              <w:autoSpaceDN w:val="0"/>
              <w:adjustRightInd w:val="0"/>
              <w:ind w:hanging="720"/>
              <w:rPr>
                <w:rFonts w:ascii="Arial" w:hAnsi="Arial" w:cs="Arial"/>
              </w:rPr>
            </w:pPr>
            <w:hyperlink r:id="rId17" w:history="1">
              <w:r>
                <w:rPr>
                  <w:rFonts w:ascii="Arial" w:hAnsi="Arial" w:cs="Arial"/>
                  <w:color w:val="13478C"/>
                  <w:sz w:val="28"/>
                  <w:szCs w:val="28"/>
                  <w:u w:val="single"/>
                </w:rPr>
                <w:t>UBC bursaries</w:t>
              </w:r>
            </w:hyperlink>
          </w:p>
          <w:p w14:paraId="41B26F73" w14:textId="77777777" w:rsidR="00A35C6F" w:rsidRPr="00A35C6F" w:rsidRDefault="00A35C6F">
            <w:pPr>
              <w:widowControl w:val="0"/>
              <w:numPr>
                <w:ilvl w:val="0"/>
                <w:numId w:val="3"/>
              </w:numPr>
              <w:tabs>
                <w:tab w:val="left" w:pos="220"/>
                <w:tab w:val="left" w:pos="720"/>
              </w:tabs>
              <w:autoSpaceDE w:val="0"/>
              <w:autoSpaceDN w:val="0"/>
              <w:adjustRightInd w:val="0"/>
              <w:ind w:hanging="720"/>
              <w:rPr>
                <w:rFonts w:ascii="Arial" w:hAnsi="Arial" w:cs="Arial"/>
              </w:rPr>
            </w:pPr>
            <w:hyperlink r:id="rId18" w:history="1">
              <w:r>
                <w:rPr>
                  <w:rFonts w:ascii="Arial" w:hAnsi="Arial" w:cs="Arial"/>
                  <w:color w:val="13478C"/>
                  <w:sz w:val="28"/>
                  <w:szCs w:val="28"/>
                  <w:u w:val="single"/>
                </w:rPr>
                <w:t>Canada Emergency Response Benefit</w:t>
              </w:r>
            </w:hyperlink>
          </w:p>
          <w:p w14:paraId="756A6BFC" w14:textId="77777777" w:rsidR="00A35C6F" w:rsidRDefault="00A35C6F" w:rsidP="00A35C6F">
            <w:pPr>
              <w:widowControl w:val="0"/>
              <w:tabs>
                <w:tab w:val="left" w:pos="220"/>
                <w:tab w:val="left" w:pos="720"/>
              </w:tabs>
              <w:autoSpaceDE w:val="0"/>
              <w:autoSpaceDN w:val="0"/>
              <w:adjustRightInd w:val="0"/>
              <w:ind w:left="720"/>
              <w:rPr>
                <w:rFonts w:ascii="Arial" w:hAnsi="Arial" w:cs="Arial"/>
              </w:rPr>
            </w:pPr>
          </w:p>
        </w:tc>
      </w:tr>
      <w:tr w:rsidR="00A35C6F" w14:paraId="17978F30" w14:textId="77777777">
        <w:tblPrEx>
          <w:tblBorders>
            <w:top w:val="none" w:sz="0" w:space="0" w:color="auto"/>
          </w:tblBorders>
          <w:tblCellMar>
            <w:top w:w="0" w:type="dxa"/>
            <w:left w:w="0" w:type="dxa"/>
            <w:bottom w:w="0" w:type="dxa"/>
            <w:right w:w="0" w:type="dxa"/>
          </w:tblCellMar>
        </w:tblPrEx>
        <w:tc>
          <w:tcPr>
            <w:tcW w:w="9600" w:type="dxa"/>
            <w:tcBorders>
              <w:top w:val="nil"/>
              <w:left w:val="nil"/>
              <w:bottom w:val="nil"/>
              <w:right w:val="nil"/>
            </w:tcBorders>
            <w:shd w:val="clear" w:color="auto" w:fill="F6F6F6"/>
            <w:tcMar>
              <w:top w:w="200" w:type="nil"/>
              <w:left w:w="100" w:type="nil"/>
              <w:bottom w:w="100" w:type="nil"/>
              <w:right w:w="200" w:type="nil"/>
            </w:tcMar>
            <w:vAlign w:val="center"/>
          </w:tcPr>
          <w:p w14:paraId="1BDFF416" w14:textId="77777777" w:rsidR="00A35C6F" w:rsidRDefault="00A35C6F">
            <w:pPr>
              <w:widowControl w:val="0"/>
              <w:autoSpaceDE w:val="0"/>
              <w:autoSpaceDN w:val="0"/>
              <w:adjustRightInd w:val="0"/>
              <w:rPr>
                <w:rFonts w:ascii="Arial" w:hAnsi="Arial" w:cs="Arial"/>
                <w:b/>
                <w:bCs/>
                <w:sz w:val="28"/>
                <w:szCs w:val="28"/>
              </w:rPr>
            </w:pPr>
            <w:r>
              <w:rPr>
                <w:rFonts w:ascii="Arial" w:hAnsi="Arial" w:cs="Arial"/>
                <w:b/>
                <w:bCs/>
                <w:sz w:val="28"/>
                <w:szCs w:val="28"/>
              </w:rPr>
              <w:t>UBC, through students’ eyes</w:t>
            </w:r>
          </w:p>
          <w:p w14:paraId="79A3AFAE" w14:textId="77777777" w:rsidR="00A35C6F" w:rsidRDefault="00A35C6F">
            <w:pPr>
              <w:widowControl w:val="0"/>
              <w:autoSpaceDE w:val="0"/>
              <w:autoSpaceDN w:val="0"/>
              <w:adjustRightInd w:val="0"/>
              <w:rPr>
                <w:rFonts w:ascii="Arial" w:hAnsi="Arial" w:cs="Arial"/>
              </w:rPr>
            </w:pPr>
          </w:p>
        </w:tc>
      </w:tr>
      <w:tr w:rsidR="00A35C6F" w14:paraId="03971DDF" w14:textId="77777777">
        <w:tblPrEx>
          <w:tblCellMar>
            <w:top w:w="0" w:type="dxa"/>
            <w:left w:w="0" w:type="dxa"/>
            <w:bottom w:w="0" w:type="dxa"/>
            <w:right w:w="0" w:type="dxa"/>
          </w:tblCellMar>
        </w:tblPrEx>
        <w:tc>
          <w:tcPr>
            <w:tcW w:w="9600" w:type="dxa"/>
            <w:tcBorders>
              <w:top w:val="nil"/>
              <w:left w:val="nil"/>
              <w:bottom w:val="nil"/>
              <w:right w:val="nil"/>
            </w:tcBorders>
            <w:tcMar>
              <w:top w:w="200" w:type="nil"/>
              <w:left w:w="200" w:type="nil"/>
              <w:bottom w:w="200" w:type="nil"/>
              <w:right w:w="200" w:type="nil"/>
            </w:tcMar>
            <w:vAlign w:val="center"/>
          </w:tcPr>
          <w:p w14:paraId="2C5CEA59" w14:textId="77777777" w:rsidR="00A35C6F" w:rsidRDefault="00A35C6F">
            <w:pPr>
              <w:widowControl w:val="0"/>
              <w:autoSpaceDE w:val="0"/>
              <w:autoSpaceDN w:val="0"/>
              <w:adjustRightInd w:val="0"/>
              <w:rPr>
                <w:rFonts w:ascii="Arial" w:hAnsi="Arial" w:cs="Arial"/>
                <w:sz w:val="28"/>
                <w:szCs w:val="28"/>
              </w:rPr>
            </w:pPr>
            <w:r>
              <w:rPr>
                <w:rFonts w:ascii="Arial" w:hAnsi="Arial" w:cs="Arial"/>
                <w:sz w:val="28"/>
                <w:szCs w:val="28"/>
              </w:rPr>
              <w:t xml:space="preserve">Students can get a sense of UBC life and what it means to be part of our community by reading about the successes, challenges, and experiences of our current students in our </w:t>
            </w:r>
            <w:hyperlink r:id="rId19" w:history="1">
              <w:r>
                <w:rPr>
                  <w:rFonts w:ascii="Arial" w:hAnsi="Arial" w:cs="Arial"/>
                  <w:color w:val="13478C"/>
                  <w:sz w:val="28"/>
                  <w:szCs w:val="28"/>
                  <w:u w:val="single" w:color="13478C"/>
                </w:rPr>
                <w:t>UBC Stories section</w:t>
              </w:r>
            </w:hyperlink>
            <w:r>
              <w:rPr>
                <w:rFonts w:ascii="Arial" w:hAnsi="Arial" w:cs="Arial"/>
                <w:sz w:val="28"/>
                <w:szCs w:val="28"/>
              </w:rPr>
              <w:t>.</w:t>
            </w:r>
          </w:p>
        </w:tc>
      </w:tr>
    </w:tbl>
    <w:p w14:paraId="53F27F53" w14:textId="77777777" w:rsidR="003654C6" w:rsidRDefault="003654C6"/>
    <w:p w14:paraId="190B6A39" w14:textId="77777777" w:rsidR="00A35C6F" w:rsidRDefault="00A35C6F"/>
    <w:tbl>
      <w:tblPr>
        <w:tblW w:w="0" w:type="auto"/>
        <w:tblInd w:w="-108" w:type="dxa"/>
        <w:tblBorders>
          <w:top w:val="nil"/>
          <w:left w:val="nil"/>
          <w:right w:val="nil"/>
        </w:tblBorders>
        <w:tblLayout w:type="fixed"/>
        <w:tblLook w:val="0000" w:firstRow="0" w:lastRow="0" w:firstColumn="0" w:lastColumn="0" w:noHBand="0" w:noVBand="0"/>
      </w:tblPr>
      <w:tblGrid>
        <w:gridCol w:w="10000"/>
      </w:tblGrid>
      <w:tr w:rsidR="00A35C6F" w14:paraId="46995859" w14:textId="77777777">
        <w:tblPrEx>
          <w:tblCellMar>
            <w:top w:w="0" w:type="dxa"/>
            <w:bottom w:w="0" w:type="dxa"/>
          </w:tblCellMar>
        </w:tblPrEx>
        <w:tc>
          <w:tcPr>
            <w:tcW w:w="9600" w:type="dxa"/>
            <w:shd w:val="clear" w:color="auto" w:fill="F6F6F6"/>
            <w:tcMar>
              <w:top w:w="200" w:type="nil"/>
              <w:left w:w="100" w:type="nil"/>
              <w:bottom w:w="100" w:type="nil"/>
              <w:right w:w="200" w:type="nil"/>
            </w:tcMar>
            <w:vAlign w:val="center"/>
          </w:tcPr>
          <w:p w14:paraId="65F6C2BA" w14:textId="77777777" w:rsidR="00A35C6F" w:rsidRDefault="00A35C6F">
            <w:pPr>
              <w:widowControl w:val="0"/>
              <w:autoSpaceDE w:val="0"/>
              <w:autoSpaceDN w:val="0"/>
              <w:adjustRightInd w:val="0"/>
              <w:rPr>
                <w:rFonts w:ascii="Arial" w:hAnsi="Arial" w:cs="Arial"/>
              </w:rPr>
            </w:pPr>
            <w:r>
              <w:rPr>
                <w:rFonts w:ascii="Arial" w:hAnsi="Arial" w:cs="Arial"/>
                <w:b/>
                <w:bCs/>
                <w:sz w:val="28"/>
                <w:szCs w:val="28"/>
              </w:rPr>
              <w:t>Program spotlight: Bachelor of Management</w:t>
            </w:r>
          </w:p>
        </w:tc>
      </w:tr>
      <w:tr w:rsidR="00A35C6F" w14:paraId="25035B6A" w14:textId="77777777">
        <w:tblPrEx>
          <w:tblBorders>
            <w:top w:val="none" w:sz="0" w:space="0" w:color="auto"/>
          </w:tblBorders>
          <w:tblCellMar>
            <w:top w:w="0" w:type="dxa"/>
            <w:bottom w:w="0" w:type="dxa"/>
          </w:tblCellMar>
        </w:tblPrEx>
        <w:tc>
          <w:tcPr>
            <w:tcW w:w="10000" w:type="dxa"/>
            <w:tcMar>
              <w:bottom w:w="200" w:type="nil"/>
            </w:tcMar>
            <w:vAlign w:val="center"/>
          </w:tcPr>
          <w:p w14:paraId="03DF3510" w14:textId="77777777" w:rsidR="00A35C6F" w:rsidRDefault="00A35C6F">
            <w:pPr>
              <w:widowControl w:val="0"/>
              <w:autoSpaceDE w:val="0"/>
              <w:autoSpaceDN w:val="0"/>
              <w:adjustRightInd w:val="0"/>
              <w:rPr>
                <w:rFonts w:ascii="Arial" w:hAnsi="Arial" w:cs="Arial"/>
              </w:rPr>
            </w:pPr>
            <w:bookmarkStart w:id="0" w:name="_GoBack"/>
            <w:bookmarkEnd w:id="0"/>
          </w:p>
        </w:tc>
      </w:tr>
      <w:tr w:rsidR="00A35C6F" w14:paraId="24754756" w14:textId="77777777">
        <w:tblPrEx>
          <w:tblCellMar>
            <w:top w:w="0" w:type="dxa"/>
            <w:bottom w:w="0" w:type="dxa"/>
          </w:tblCellMar>
        </w:tblPrEx>
        <w:tc>
          <w:tcPr>
            <w:tcW w:w="9600" w:type="dxa"/>
            <w:tcMar>
              <w:top w:w="200" w:type="nil"/>
              <w:left w:w="200" w:type="nil"/>
              <w:bottom w:w="200" w:type="nil"/>
              <w:right w:w="200" w:type="nil"/>
            </w:tcMar>
            <w:vAlign w:val="center"/>
          </w:tcPr>
          <w:p w14:paraId="0CD6B89E" w14:textId="77777777" w:rsidR="00A35C6F" w:rsidRDefault="00A35C6F">
            <w:pPr>
              <w:widowControl w:val="0"/>
              <w:autoSpaceDE w:val="0"/>
              <w:autoSpaceDN w:val="0"/>
              <w:adjustRightInd w:val="0"/>
              <w:rPr>
                <w:rFonts w:ascii="Arial" w:hAnsi="Arial" w:cs="Arial"/>
                <w:sz w:val="28"/>
                <w:szCs w:val="28"/>
              </w:rPr>
            </w:pPr>
            <w:r>
              <w:rPr>
                <w:rFonts w:ascii="Arial" w:hAnsi="Arial" w:cs="Arial"/>
                <w:sz w:val="28"/>
                <w:szCs w:val="28"/>
              </w:rPr>
              <w:t>Do you have students who are looking to use their leaderships skills to make a difference in the world? While traditional business schools might teach how to chase profits, the</w:t>
            </w:r>
            <w:hyperlink r:id="rId20" w:history="1">
              <w:r>
                <w:rPr>
                  <w:rFonts w:ascii="Arial" w:hAnsi="Arial" w:cs="Arial"/>
                  <w:color w:val="13478C"/>
                  <w:sz w:val="28"/>
                  <w:szCs w:val="28"/>
                  <w:u w:val="single" w:color="13478C"/>
                </w:rPr>
                <w:t xml:space="preserve"> Bachelor of Management at UBC Okanagan</w:t>
              </w:r>
            </w:hyperlink>
            <w:r>
              <w:rPr>
                <w:rFonts w:ascii="Arial" w:hAnsi="Arial" w:cs="Arial"/>
                <w:sz w:val="28"/>
                <w:szCs w:val="28"/>
              </w:rPr>
              <w:t xml:space="preserve"> will help your students learn how to incorporate social, financial, and environmental sustainability into the way organizations are run. They’ll be taught a broad overview of management and business principles, and will have the option to specialize in areas like marketing, management communications, or financial accounting. They’ll graduate ready to work within their community, launch their own business, or empower organizational change.</w:t>
            </w:r>
          </w:p>
        </w:tc>
      </w:tr>
    </w:tbl>
    <w:p w14:paraId="423E8216" w14:textId="77777777" w:rsidR="00A35C6F" w:rsidRDefault="00A35C6F"/>
    <w:sectPr w:rsidR="00A35C6F" w:rsidSect="00291D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6F"/>
    <w:rsid w:val="00291D50"/>
    <w:rsid w:val="003654C6"/>
    <w:rsid w:val="00A3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F8E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app.engage.ubc.ca/e/er?utm_campaign=UBC%20Updates%3A%20April%202020&amp;utm_medium=email&amp;utm_source=Eloqua&amp;s=617374102&amp;lid=292&amp;elqTrackId=47EC50730A26BE3B9CFB4B78DC5BEE88&amp;elq=526379321857487aa9f91ffa18be2630&amp;elqaid=1284&amp;elqat=1" TargetMode="External"/><Relationship Id="rId20" Type="http://schemas.openxmlformats.org/officeDocument/2006/relationships/hyperlink" Target="http://app.engage.ubc.ca/e/er?utm_campaign=UBC%20Updates%3A%20April%202020&amp;utm_medium=email&amp;utm_source=Eloqua&amp;s=617374102&amp;lid=821&amp;elqTrackId=C89D43A320F26BD78317AD64AD2B9D17&amp;elq=526379321857487aa9f91ffa18be2630&amp;elqaid=1284&amp;elqat=1"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app.engage.ubc.ca/e/er?utm_campaign=UBC%20Updates%3A%20April%202020&amp;utm_medium=email&amp;utm_source=Eloqua&amp;s=617374102&amp;lid=662&amp;elqTrackId=11F291BA8602BA73939456FA367CEB13&amp;elq=526379321857487aa9f91ffa18be2630&amp;elqaid=1284&amp;elqat=1" TargetMode="External"/><Relationship Id="rId11" Type="http://schemas.openxmlformats.org/officeDocument/2006/relationships/hyperlink" Target="http://app.engage.ubc.ca/e/er?utm_campaign=UBC%20Updates%3A%20April%202020&amp;utm_medium=email&amp;utm_source=Eloqua&amp;s=617374102&amp;lid=1114&amp;elqTrackId=ECFA122B4915DEB29A73FE1EF036C8B2&amp;elq=526379321857487aa9f91ffa18be2630&amp;elqaid=1284&amp;elqat=1" TargetMode="External"/><Relationship Id="rId12" Type="http://schemas.openxmlformats.org/officeDocument/2006/relationships/hyperlink" Target="http://app.engage.ubc.ca/e/er?utm_campaign=UBC%20Updates%3A%20April%202020&amp;utm_medium=email&amp;utm_source=Eloqua&amp;s=617374102&amp;lid=241&amp;elqTrackId=E307CA135531F08E27A740DCC0BE7512&amp;elq=526379321857487aa9f91ffa18be2630&amp;elqaid=1284&amp;elqat=1" TargetMode="External"/><Relationship Id="rId13" Type="http://schemas.openxmlformats.org/officeDocument/2006/relationships/hyperlink" Target="http://app.engage.ubc.ca/e/er?utm_campaign=UBC%20Updates%3A%20April%202020&amp;utm_medium=email&amp;utm_source=Eloqua&amp;s=617374102&amp;lid=1143&amp;elqTrackId=1D350C1D2127EB5FBD2B74BE0594FB15&amp;elq=526379321857487aa9f91ffa18be2630&amp;elqaid=1284&amp;elqat=1" TargetMode="External"/><Relationship Id="rId14" Type="http://schemas.openxmlformats.org/officeDocument/2006/relationships/hyperlink" Target="http://app.engage.ubc.ca/e/er?utm_campaign=UBC%20Updates%3A%20April%202020&amp;utm_medium=email&amp;utm_source=Eloqua&amp;s=617374102&amp;lid=1184&amp;elqTrackId=FC0AA516FE51D92E4FAE1EEE14B5EEA8&amp;elq=526379321857487aa9f91ffa18be2630&amp;elqaid=1284&amp;elqat=1" TargetMode="External"/><Relationship Id="rId15" Type="http://schemas.openxmlformats.org/officeDocument/2006/relationships/hyperlink" Target="http://app.engage.ubc.ca/e/er?utm_campaign=UBC%20Updates%3A%20April%202020&amp;utm_medium=email&amp;utm_source=Eloqua&amp;s=617374102&amp;lid=24&amp;elqTrackId=3C5A8B0F21DBB19C69733D6C912B7E78&amp;elq=526379321857487aa9f91ffa18be2630&amp;elqaid=1284&amp;elqat=1" TargetMode="External"/><Relationship Id="rId16" Type="http://schemas.openxmlformats.org/officeDocument/2006/relationships/hyperlink" Target="https://students.ubc.ca/enrolment/finances/student-loans?utm_campaign=UBC%20Updates%3A%20April%202020&amp;utm_medium=email&amp;utm_source=Eloqua&amp;elqTrackId=299F9EA88CEA4DA0C42B00E03D0B6443&amp;elq=526379321857487aa9f91ffa18be2630&amp;elqaid=1284&amp;elqat=1&amp;elqCampaignId=1669" TargetMode="External"/><Relationship Id="rId17" Type="http://schemas.openxmlformats.org/officeDocument/2006/relationships/hyperlink" Target="http://app.engage.ubc.ca/e/er?utm_campaign=UBC%20Updates%3A%20April%202020&amp;utm_medium=email&amp;utm_source=Eloqua&amp;s=617374102&amp;lid=657&amp;elqTrackId=115E4E6B0DAFA6A1A896BAC6B6D5AE7A&amp;elq=526379321857487aa9f91ffa18be2630&amp;elqaid=1284&amp;elqat=1" TargetMode="External"/><Relationship Id="rId18" Type="http://schemas.openxmlformats.org/officeDocument/2006/relationships/hyperlink" Target="http://app.engage.ubc.ca/e/er?utm_campaign=UBC%20Updates%3A%20April%202020&amp;utm_medium=email&amp;utm_source=Eloqua&amp;s=617374102&amp;lid=1117&amp;elqTrackId=492F4D621C6DA6606DEEE0C3E51A0CD0&amp;elq=526379321857487aa9f91ffa18be2630&amp;elqaid=1284&amp;elqat=1" TargetMode="External"/><Relationship Id="rId19" Type="http://schemas.openxmlformats.org/officeDocument/2006/relationships/hyperlink" Target="http://app.engage.ubc.ca/e/er?utm_campaign=UBC%20Updates%3A%20April%202020&amp;utm_medium=email&amp;utm_source=Eloqua&amp;s=617374102&amp;lid=1077&amp;elqTrackId=4A3C86452A211BA8567A399EE4E6434F&amp;elq=526379321857487aa9f91ffa18be2630&amp;elqaid=1284&amp;elqat=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engage.ubc.ca/e/er?utm_campaign=UBC%20Updates%3A%20April%202020&amp;utm_medium=email&amp;utm_source=Eloqua&amp;s=617374102&amp;lid=1070&amp;elqTrackId=C1923E520A3AE5DDED8DD02C2612AAF4&amp;elq=526379321857487aa9f91ffa18be2630&amp;elqaid=1284&amp;elqat=1" TargetMode="External"/><Relationship Id="rId6" Type="http://schemas.openxmlformats.org/officeDocument/2006/relationships/hyperlink" Target="http://app.engage.ubc.ca/e/er?utm_campaign=UBC%20Updates%3A%20April%202020&amp;utm_medium=email&amp;utm_source=Eloqua&amp;s=617374102&amp;lid=664&amp;elqTrackId=6320C5A8EE5E2DC37C01C6F2FD868479&amp;elq=526379321857487aa9f91ffa18be2630&amp;elqaid=1284&amp;elqat=1" TargetMode="External"/><Relationship Id="rId7" Type="http://schemas.openxmlformats.org/officeDocument/2006/relationships/hyperlink" Target="http://app.engage.ubc.ca/e/er?utm_campaign=UBC%20Updates%3A%20April%202020&amp;utm_medium=email&amp;utm_source=Eloqua&amp;s=617374102&amp;lid=1074&amp;elqTrackId=6E2F14F202AE29ADDE03785260823550&amp;elq=526379321857487aa9f91ffa18be2630&amp;elqaid=1284&amp;elqat=1" TargetMode="External"/><Relationship Id="rId8" Type="http://schemas.openxmlformats.org/officeDocument/2006/relationships/hyperlink" Target="http://app.engage.ubc.ca/e/er?utm_campaign=UBC%20Updates%3A%20April%202020&amp;utm_medium=email&amp;utm_source=Eloqua&amp;s=617374102&amp;lid=98&amp;elqTrackId=7DD554B4E454757AA3D9866EA3B79658&amp;elq=526379321857487aa9f91ffa18be2630&amp;elqaid=1284&amp;elqa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1280</Words>
  <Characters>7299</Characters>
  <Application>Microsoft Macintosh Word</Application>
  <DocSecurity>0</DocSecurity>
  <Lines>60</Lines>
  <Paragraphs>17</Paragraphs>
  <ScaleCrop>false</ScaleCrop>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2020-05-09T17:54:00Z</dcterms:created>
  <dcterms:modified xsi:type="dcterms:W3CDTF">2020-05-09T17:59:00Z</dcterms:modified>
</cp:coreProperties>
</file>