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9" w:rsidRPr="00B90F19" w:rsidRDefault="00B90F19">
      <w:pPr>
        <w:rPr>
          <w:rFonts w:ascii="Arial" w:hAnsi="Arial" w:cs="Arial"/>
          <w:b/>
          <w:color w:val="3F3F3F"/>
          <w:sz w:val="20"/>
          <w:szCs w:val="20"/>
        </w:rPr>
      </w:pPr>
      <w:r w:rsidRPr="00B90F19">
        <w:rPr>
          <w:rFonts w:ascii="Arial" w:hAnsi="Arial" w:cs="Arial"/>
          <w:b/>
          <w:color w:val="3F3F3F"/>
          <w:sz w:val="20"/>
          <w:szCs w:val="20"/>
        </w:rPr>
        <w:t>UBC Updates January 2022</w:t>
      </w:r>
    </w:p>
    <w:p w:rsidR="002D64AD" w:rsidRDefault="00B90F19">
      <w:bookmarkStart w:id="0" w:name="_GoBack"/>
      <w:bookmarkEnd w:id="0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>Indigenous students: self-identification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Students who wish to discuss self-identification on their UBC application can connect with an advisor for Indigenous students at </w:t>
      </w:r>
      <w:hyperlink r:id="rId5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indigenous.recruitment@ubc.ca</w:t>
        </w:r>
      </w:hyperlink>
      <w:hyperlink r:id="rId6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.</w:t>
        </w:r>
      </w:hyperlink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>Priority access to housing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Students who identify as Indigenous, have a disability or ongoing medical condition, or are participating in a select list of reciprocal student exchange programs qualify for priority access to housing. A full list of eligibility criteria for the </w:t>
      </w:r>
      <w:hyperlink r:id="rId7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Okanagan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and </w:t>
      </w:r>
      <w:hyperlink r:id="rId8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Vancouver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campuses is available online.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Rural </w:t>
      </w:r>
      <w:proofErr w:type="spellStart"/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>eMentoring</w:t>
      </w:r>
      <w:proofErr w:type="spellEnd"/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proofErr w:type="gramStart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Rural</w:t>
      </w:r>
      <w:proofErr w:type="gramEnd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 </w:t>
      </w:r>
      <w:proofErr w:type="spellStart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eMentoring</w:t>
      </w:r>
      <w:proofErr w:type="spellEnd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 BC is a FREE online mentoring program that connects rural youth to mentors who are post-secondary students. Mentors guide students through a flexible curriculum that prepares them for life after high school—all through a safe and secure online messaging </w:t>
      </w:r>
      <w:proofErr w:type="spellStart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platform.Visit</w:t>
      </w:r>
      <w:proofErr w:type="spellEnd"/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 our </w:t>
      </w:r>
      <w:hyperlink r:id="rId9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website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to learn more about the program and sign up. Contact us at </w:t>
      </w:r>
      <w:hyperlink r:id="rId10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e.mentoring@ubc.ca 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or (604-827-4197).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NEW AT </w:t>
      </w:r>
      <w:proofErr w:type="gramStart"/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>UBC</w:t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>:</w:t>
      </w:r>
      <w:proofErr w:type="gramEnd"/>
      <w:r>
        <w:rPr>
          <w:rStyle w:val="Strong"/>
          <w:rFonts w:ascii="Arial" w:hAnsi="Arial" w:cs="Arial"/>
          <w:color w:val="3F3F3F"/>
          <w:sz w:val="20"/>
          <w:szCs w:val="20"/>
          <w:shd w:val="clear" w:color="auto" w:fill="F6F0E7"/>
        </w:rPr>
        <w:t xml:space="preserve"> Media Studies at UBC Okanagan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</w:t>
      </w:r>
      <w:r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Do you have a student fascinated by how technology can be used to make art? UBC Okanagan’s </w:t>
      </w:r>
      <w:hyperlink r:id="rId11" w:tgtFrame="_blank" w:history="1">
        <w:r>
          <w:rPr>
            <w:rStyle w:val="Hyperlink"/>
            <w:rFonts w:ascii="Arial" w:hAnsi="Arial" w:cs="Arial"/>
            <w:color w:val="3C769B"/>
            <w:sz w:val="20"/>
            <w:szCs w:val="20"/>
            <w:u w:val="none"/>
            <w:shd w:val="clear" w:color="auto" w:fill="F6F0E7"/>
          </w:rPr>
          <w:t>Bachelor of Media Studies</w:t>
        </w:r>
      </w:hyperlink>
      <w:r>
        <w:rPr>
          <w:rFonts w:ascii="Arial" w:hAnsi="Arial" w:cs="Arial"/>
          <w:color w:val="3F3F3F"/>
          <w:sz w:val="20"/>
          <w:szCs w:val="20"/>
          <w:shd w:val="clear" w:color="auto" w:fill="F6F0E7"/>
        </w:rPr>
        <w:t> is designed for students to enter a career where they’ll work with still images, sound design, videos, or create games. This hands-on degree is a computational arts program, which means students will gain coding skills to enhance and create their art. Your students won’t need any prior experience in programming – only a creative mindset and a willingness to explore.</w:t>
      </w:r>
    </w:p>
    <w:sectPr w:rsidR="002D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19"/>
    <w:rsid w:val="002D64AD"/>
    <w:rsid w:val="003B5EE8"/>
    <w:rsid w:val="007F34CA"/>
    <w:rsid w:val="00B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F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0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F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ngage.ubc.ca/e/er?utm_campaign=UBC%20Updates%3A%20January%202022%20-%20BC&amp;utm_medium=email&amp;utm_source=Eloqua&amp;s=617374102&amp;lid=268&amp;elqTrackId=3285EE4E05E68223CBDEC05D3D532D51&amp;elq=a1a8c3a8cb3146f6a77ebef94cf888b7&amp;elqaid=2116&amp;elqa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.engage.ubc.ca/e/er?utm_campaign=UBC%20Updates%3A%20January%202022%20-%20BC&amp;utm_medium=email&amp;utm_source=Eloqua&amp;s=617374102&amp;lid=42&amp;elqTrackId=DEFBE2A60F09C6E64B494543C6807091&amp;elq=a1a8c3a8cb3146f6a77ebef94cf888b7&amp;elqaid=2116&amp;elqat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.engage.ubc.ca/e/er?utm_campaign=UBC%20Updates%3A%20January%202022%20-%20BC&amp;utm_medium=email&amp;utm_source=Eloqua&amp;s=617374102&amp;lid=918&amp;elqTrackId=5F7C851F29E91F36A4FD6C1FE4336594&amp;elq=a1a8c3a8cb3146f6a77ebef94cf888b7&amp;elqaid=2116&amp;elqat=1" TargetMode="External"/><Relationship Id="rId11" Type="http://schemas.openxmlformats.org/officeDocument/2006/relationships/hyperlink" Target="http://app.engage.ubc.ca/e/er?utm_campaign=UBC%20Updates%3A%20January%202022%20-%20BC&amp;utm_medium=email&amp;utm_source=Eloqua&amp;s=617374102&amp;lid=1405&amp;elqTrackId=BAA8B07ED987A8C2184B1BCE8B06FE94&amp;elq=a1a8c3a8cb3146f6a77ebef94cf888b7&amp;elqaid=2116&amp;elqat=1" TargetMode="External"/><Relationship Id="rId5" Type="http://schemas.openxmlformats.org/officeDocument/2006/relationships/hyperlink" Target="mailto:indigenous.recruitment@ubc.ca" TargetMode="External"/><Relationship Id="rId10" Type="http://schemas.openxmlformats.org/officeDocument/2006/relationships/hyperlink" Target="mailto:e.mentoring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engage.ubc.ca/e/er?utm_campaign=UBC%20Updates%3A%20January%202022%20-%20BC&amp;utm_medium=email&amp;utm_source=Eloqua&amp;s=617374102&amp;lid=1269&amp;elqTrackId=15F28B9A10F82F03FD66AF8E14D641F6&amp;elq=a1a8c3a8cb3146f6a77ebef94cf888b7&amp;elqaid=2116&amp;elqa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2022-01-13T18:30:00Z</dcterms:created>
  <dcterms:modified xsi:type="dcterms:W3CDTF">2022-01-13T18:30:00Z</dcterms:modified>
</cp:coreProperties>
</file>