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shd w:val="clear" w:color="auto" w:fill="F3F3F1"/>
        <w:tblCellMar>
          <w:left w:w="0" w:type="dxa"/>
          <w:right w:w="0" w:type="dxa"/>
        </w:tblCellMar>
        <w:tblLook w:val="04A0" w:firstRow="1" w:lastRow="0" w:firstColumn="1" w:lastColumn="0" w:noHBand="0" w:noVBand="1"/>
      </w:tblPr>
      <w:tblGrid>
        <w:gridCol w:w="9841"/>
      </w:tblGrid>
      <w:tr w:rsidR="00CC0CCB" w:rsidRPr="00CC0CCB" w:rsidTr="004F00CE">
        <w:trPr>
          <w:jc w:val="center"/>
        </w:trPr>
        <w:tc>
          <w:tcPr>
            <w:tcW w:w="9360" w:type="dxa"/>
            <w:shd w:val="clear" w:color="auto" w:fill="F3F3F1"/>
            <w:hideMark/>
          </w:tcPr>
          <w:tbl>
            <w:tblPr>
              <w:tblW w:w="9000" w:type="dxa"/>
              <w:jc w:val="center"/>
              <w:tblBorders>
                <w:top w:val="single" w:sz="12" w:space="0" w:color="E1E1E0"/>
                <w:left w:val="single" w:sz="12" w:space="0" w:color="E1E1E0"/>
                <w:bottom w:val="single" w:sz="12" w:space="0" w:color="E1E1E0"/>
                <w:right w:val="single" w:sz="12" w:space="0" w:color="E1E1E0"/>
              </w:tblBorders>
              <w:shd w:val="clear" w:color="auto" w:fill="FFFFFF"/>
              <w:tblCellMar>
                <w:left w:w="0" w:type="dxa"/>
                <w:right w:w="0" w:type="dxa"/>
              </w:tblCellMar>
              <w:tblLook w:val="04A0" w:firstRow="1" w:lastRow="0" w:firstColumn="1" w:lastColumn="0" w:noHBand="0" w:noVBand="1"/>
            </w:tblPr>
            <w:tblGrid>
              <w:gridCol w:w="9811"/>
            </w:tblGrid>
            <w:tr w:rsidR="00CC0CCB" w:rsidRPr="00CC0CCB">
              <w:trPr>
                <w:jc w:val="center"/>
              </w:trPr>
              <w:tc>
                <w:tcPr>
                  <w:tcW w:w="9000" w:type="dxa"/>
                  <w:shd w:val="clear" w:color="auto" w:fill="FFFFFF"/>
                  <w:vAlign w:val="center"/>
                  <w:hideMark/>
                </w:tcPr>
                <w:tbl>
                  <w:tblPr>
                    <w:tblpPr w:leftFromText="45" w:rightFromText="45" w:vertAnchor="text"/>
                    <w:tblW w:w="9781" w:type="dxa"/>
                    <w:shd w:val="clear" w:color="auto" w:fill="FFFFFF"/>
                    <w:tblCellMar>
                      <w:left w:w="0" w:type="dxa"/>
                      <w:right w:w="0" w:type="dxa"/>
                    </w:tblCellMar>
                    <w:tblLook w:val="04A0" w:firstRow="1" w:lastRow="0" w:firstColumn="1" w:lastColumn="0" w:noHBand="0" w:noVBand="1"/>
                  </w:tblPr>
                  <w:tblGrid>
                    <w:gridCol w:w="9781"/>
                  </w:tblGrid>
                  <w:tr w:rsidR="00CC0CCB" w:rsidRPr="004F00CE" w:rsidTr="00CC0CCB">
                    <w:tc>
                      <w:tcPr>
                        <w:tcW w:w="9781" w:type="dxa"/>
                        <w:shd w:val="clear" w:color="auto" w:fill="FFFFFF"/>
                        <w:vAlign w:val="center"/>
                        <w:hideMark/>
                      </w:tcPr>
                      <w:p w:rsidR="00CC0CCB" w:rsidRPr="00CC0CCB" w:rsidRDefault="00CC0CCB" w:rsidP="004F00CE">
                        <w:pPr>
                          <w:spacing w:after="0" w:line="240" w:lineRule="auto"/>
                          <w:rPr>
                            <w:rFonts w:ascii="Georgia" w:eastAsia="Times New Roman" w:hAnsi="Georgia" w:cs="Helvetica"/>
                            <w:color w:val="1E1E1E"/>
                            <w:sz w:val="20"/>
                            <w:szCs w:val="20"/>
                          </w:rPr>
                        </w:pPr>
                        <w:bookmarkStart w:id="0" w:name="_GoBack"/>
                        <w:r w:rsidRPr="00CC0CCB">
                          <w:rPr>
                            <w:rFonts w:ascii="Georgia" w:eastAsia="Times New Roman" w:hAnsi="Georgia" w:cs="Helvetica"/>
                            <w:color w:val="1E1E1E"/>
                            <w:sz w:val="20"/>
                            <w:szCs w:val="20"/>
                          </w:rPr>
                          <w:t>Dear Colleagues, </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This past year posed extraordinary challenges. With so much uncertainty regarding the fluctuating state of public health, students and their counselors were required to make weighty decisions based on imperfect knowledge. Your guidance amid these conditions was enormously helpful for students, and we are grateful for your work.</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Looking ahead, we are cautiously optimistic that we will be able to welcome all students back to campus in the fall. Our entire faculty and staff—from residential proctors to professors—are working to ensure that students can safely enjoy the complete Harvard experience. While we continue to monitor the progress of the pandemic and will adjust our plans if needed, our goal is a full return to campus. View the </w:t>
                        </w:r>
                        <w:hyperlink r:id="rId5" w:tgtFrame="_blank" w:history="1">
                          <w:r w:rsidRPr="00CC0CCB">
                            <w:rPr>
                              <w:rFonts w:ascii="Georgia" w:eastAsia="Times New Roman" w:hAnsi="Georgia" w:cs="Helvetica"/>
                              <w:color w:val="A51C30"/>
                              <w:sz w:val="20"/>
                              <w:szCs w:val="20"/>
                              <w:u w:val="single"/>
                            </w:rPr>
                            <w:t>Our Path Forward page</w:t>
                          </w:r>
                        </w:hyperlink>
                        <w:r w:rsidRPr="00CC0CCB">
                          <w:rPr>
                            <w:rFonts w:ascii="Georgia" w:eastAsia="Times New Roman" w:hAnsi="Georgia" w:cs="Helvetica"/>
                            <w:color w:val="1E1E1E"/>
                            <w:sz w:val="20"/>
                            <w:szCs w:val="20"/>
                          </w:rPr>
                          <w:t> on our website to learn more about campus reopening plans. You can also view the latest information regarding COVID vaccinations for students on the </w:t>
                        </w:r>
                        <w:hyperlink r:id="rId6" w:tgtFrame="_blank" w:history="1">
                          <w:r w:rsidRPr="00CC0CCB">
                            <w:rPr>
                              <w:rFonts w:ascii="Georgia" w:eastAsia="Times New Roman" w:hAnsi="Georgia" w:cs="Helvetica"/>
                              <w:color w:val="A51C30"/>
                              <w:sz w:val="20"/>
                              <w:szCs w:val="20"/>
                              <w:u w:val="single"/>
                            </w:rPr>
                            <w:t>harvard.edu website</w:t>
                          </w:r>
                        </w:hyperlink>
                        <w:r w:rsidRPr="00CC0CCB">
                          <w:rPr>
                            <w:rFonts w:ascii="Georgia" w:eastAsia="Times New Roman" w:hAnsi="Georgia" w:cs="Helvetica"/>
                            <w:color w:val="1E1E1E"/>
                            <w:sz w:val="20"/>
                            <w:szCs w:val="20"/>
                          </w:rPr>
                          <w:t>.</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While Harvard remains closed to visitors, our </w:t>
                        </w:r>
                        <w:hyperlink r:id="rId7" w:tgtFrame="_blank" w:history="1">
                          <w:r w:rsidRPr="00CC0CCB">
                            <w:rPr>
                              <w:rFonts w:ascii="Georgia" w:eastAsia="Times New Roman" w:hAnsi="Georgia" w:cs="Helvetica"/>
                              <w:color w:val="A51C30"/>
                              <w:sz w:val="20"/>
                              <w:szCs w:val="20"/>
                              <w:u w:val="single"/>
                            </w:rPr>
                            <w:t>website</w:t>
                          </w:r>
                        </w:hyperlink>
                        <w:r w:rsidRPr="00CC0CCB">
                          <w:rPr>
                            <w:rFonts w:ascii="Georgia" w:eastAsia="Times New Roman" w:hAnsi="Georgia" w:cs="Helvetica"/>
                            <w:color w:val="1E1E1E"/>
                            <w:sz w:val="20"/>
                            <w:szCs w:val="20"/>
                          </w:rPr>
                          <w:t> offers many digital resources to help students and their families get to know the College. Admissions officers will hold </w:t>
                        </w:r>
                        <w:hyperlink r:id="rId8" w:tgtFrame="_blank" w:history="1">
                          <w:r w:rsidRPr="00CC0CCB">
                            <w:rPr>
                              <w:rFonts w:ascii="Georgia" w:eastAsia="Times New Roman" w:hAnsi="Georgia" w:cs="Helvetica"/>
                              <w:color w:val="A51C30"/>
                              <w:sz w:val="20"/>
                              <w:szCs w:val="20"/>
                              <w:u w:val="single"/>
                            </w:rPr>
                            <w:t>online information sessions</w:t>
                          </w:r>
                        </w:hyperlink>
                        <w:r w:rsidRPr="00CC0CCB">
                          <w:rPr>
                            <w:rFonts w:ascii="Georgia" w:eastAsia="Times New Roman" w:hAnsi="Georgia" w:cs="Helvetica"/>
                            <w:color w:val="1E1E1E"/>
                            <w:sz w:val="20"/>
                            <w:szCs w:val="20"/>
                          </w:rPr>
                          <w:t> throughout the summer and fall. Our </w:t>
                        </w:r>
                        <w:hyperlink r:id="rId9" w:tgtFrame="_blank" w:history="1">
                          <w:r w:rsidRPr="00CC0CCB">
                            <w:rPr>
                              <w:rFonts w:ascii="Georgia" w:eastAsia="Times New Roman" w:hAnsi="Georgia" w:cs="Helvetica"/>
                              <w:color w:val="A51C30"/>
                              <w:sz w:val="20"/>
                              <w:szCs w:val="20"/>
                              <w:u w:val="single"/>
                            </w:rPr>
                            <w:t>virtual tour</w:t>
                          </w:r>
                        </w:hyperlink>
                        <w:r w:rsidRPr="00CC0CCB">
                          <w:rPr>
                            <w:rFonts w:ascii="Georgia" w:eastAsia="Times New Roman" w:hAnsi="Georgia" w:cs="Helvetica"/>
                            <w:color w:val="1E1E1E"/>
                            <w:sz w:val="20"/>
                            <w:szCs w:val="20"/>
                          </w:rPr>
                          <w:t> is available to help prospective students become acquainted with campus. </w:t>
                        </w:r>
                        <w:hyperlink r:id="rId10" w:tgtFrame="_blank" w:history="1">
                          <w:r w:rsidRPr="00CC0CCB">
                            <w:rPr>
                              <w:rFonts w:ascii="Georgia" w:eastAsia="Times New Roman" w:hAnsi="Georgia" w:cs="Helvetica"/>
                              <w:color w:val="A51C30"/>
                              <w:sz w:val="20"/>
                              <w:szCs w:val="20"/>
                              <w:u w:val="single"/>
                            </w:rPr>
                            <w:t>Student stories</w:t>
                          </w:r>
                        </w:hyperlink>
                        <w:r w:rsidRPr="00CC0CCB">
                          <w:rPr>
                            <w:rFonts w:ascii="Georgia" w:eastAsia="Times New Roman" w:hAnsi="Georgia" w:cs="Helvetica"/>
                            <w:color w:val="1E1E1E"/>
                            <w:sz w:val="20"/>
                            <w:szCs w:val="20"/>
                          </w:rPr>
                          <w:t> illuminate many aspects of the undergraduate experience. And our social media channels provide yet another window into life at Harvard.</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In the coming year, we plan to continue </w:t>
                        </w:r>
                        <w:hyperlink r:id="rId11" w:tgtFrame="_blank" w:history="1">
                          <w:r w:rsidRPr="00CC0CCB">
                            <w:rPr>
                              <w:rFonts w:ascii="Georgia" w:eastAsia="Times New Roman" w:hAnsi="Georgia" w:cs="Helvetica"/>
                              <w:color w:val="A51C30"/>
                              <w:sz w:val="20"/>
                              <w:szCs w:val="20"/>
                              <w:u w:val="single"/>
                            </w:rPr>
                            <w:t>our policy allowing students to apply to Harvard College without standardized test scores</w:t>
                          </w:r>
                        </w:hyperlink>
                        <w:r w:rsidRPr="00CC0CCB">
                          <w:rPr>
                            <w:rFonts w:ascii="Georgia" w:eastAsia="Times New Roman" w:hAnsi="Georgia" w:cs="Helvetica"/>
                            <w:color w:val="1E1E1E"/>
                            <w:sz w:val="20"/>
                            <w:szCs w:val="20"/>
                          </w:rPr>
                          <w:t>. While students who have scores may send them if they would like, those who do not will be at no disadvantage in our process.</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Finally, our commitment to </w:t>
                        </w:r>
                        <w:hyperlink r:id="rId12" w:tgtFrame="_blank" w:history="1">
                          <w:r w:rsidRPr="00CC0CCB">
                            <w:rPr>
                              <w:rFonts w:ascii="Georgia" w:eastAsia="Times New Roman" w:hAnsi="Georgia" w:cs="Helvetica"/>
                              <w:color w:val="A51C30"/>
                              <w:sz w:val="20"/>
                              <w:szCs w:val="20"/>
                              <w:u w:val="single"/>
                            </w:rPr>
                            <w:t>financial aid</w:t>
                          </w:r>
                        </w:hyperlink>
                        <w:r w:rsidRPr="00CC0CCB">
                          <w:rPr>
                            <w:rFonts w:ascii="Georgia" w:eastAsia="Times New Roman" w:hAnsi="Georgia" w:cs="Helvetica"/>
                            <w:color w:val="1E1E1E"/>
                            <w:sz w:val="20"/>
                            <w:szCs w:val="20"/>
                          </w:rPr>
                          <w:t> is unwavering. As always, we meet the full financial need of all Harvard undergraduates without requiring loans. We have no limit to the number of students we can support with financial aid, and applying for aid does not adversely affect an applicant’s chance of admission.</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Thank you again for your tireless work in this difficult year. We wish you a restful summer, and look forward to continuing our work together.</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Please review our </w:t>
                        </w:r>
                        <w:hyperlink r:id="rId13" w:tgtFrame="_blank" w:history="1">
                          <w:r w:rsidRPr="00CC0CCB">
                            <w:rPr>
                              <w:rFonts w:ascii="Georgia" w:eastAsia="Times New Roman" w:hAnsi="Georgia" w:cs="Helvetica"/>
                              <w:color w:val="A51C30"/>
                              <w:sz w:val="20"/>
                              <w:szCs w:val="20"/>
                              <w:u w:val="single"/>
                            </w:rPr>
                            <w:t>Spring 2020 Counselor Newsletter here</w:t>
                          </w:r>
                        </w:hyperlink>
                        <w:r w:rsidRPr="00CC0CCB">
                          <w:rPr>
                            <w:rFonts w:ascii="Georgia" w:eastAsia="Times New Roman" w:hAnsi="Georgia" w:cs="Helvetica"/>
                            <w:color w:val="1E1E1E"/>
                            <w:sz w:val="20"/>
                            <w:szCs w:val="20"/>
                          </w:rPr>
                          <w:t> (PDF) and find more </w:t>
                        </w:r>
                        <w:hyperlink r:id="rId14" w:tgtFrame="_blank" w:history="1">
                          <w:r w:rsidRPr="00CC0CCB">
                            <w:rPr>
                              <w:rFonts w:ascii="Georgia" w:eastAsia="Times New Roman" w:hAnsi="Georgia" w:cs="Helvetica"/>
                              <w:color w:val="A51C30"/>
                              <w:sz w:val="20"/>
                              <w:szCs w:val="20"/>
                              <w:u w:val="single"/>
                            </w:rPr>
                            <w:t>counselor-specific information on our website</w:t>
                          </w:r>
                        </w:hyperlink>
                        <w:r w:rsidRPr="00CC0CCB">
                          <w:rPr>
                            <w:rFonts w:ascii="Georgia" w:eastAsia="Times New Roman" w:hAnsi="Georgia" w:cs="Helvetica"/>
                            <w:color w:val="1E1E1E"/>
                            <w:sz w:val="20"/>
                            <w:szCs w:val="20"/>
                          </w:rPr>
                          <w:t>.</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We also invite you to join us for one of four counselor programs that we are co-hosting through </w:t>
                        </w:r>
                        <w:hyperlink r:id="rId15" w:tgtFrame="_blank" w:history="1">
                          <w:r w:rsidRPr="00CC0CCB">
                            <w:rPr>
                              <w:rFonts w:ascii="Georgia" w:eastAsia="Times New Roman" w:hAnsi="Georgia" w:cs="Helvetica"/>
                              <w:color w:val="A51C30"/>
                              <w:sz w:val="20"/>
                              <w:szCs w:val="20"/>
                              <w:u w:val="single"/>
                            </w:rPr>
                            <w:t>Exploring College Options</w:t>
                          </w:r>
                        </w:hyperlink>
                        <w:r w:rsidRPr="00CC0CCB">
                          <w:rPr>
                            <w:rFonts w:ascii="Georgia" w:eastAsia="Times New Roman" w:hAnsi="Georgia" w:cs="Helvetica"/>
                            <w:color w:val="1E1E1E"/>
                            <w:sz w:val="20"/>
                            <w:szCs w:val="20"/>
                          </w:rPr>
                          <w:t> with Duke, Georgetown, University of Pennsylvania, and Stanford. Those online events will occur Tuesday May 18th, Wednesday, May 19th, Tuesday May 25th, and Wednesday May 26th - all at noon EDT. </w:t>
                        </w:r>
                        <w:hyperlink r:id="rId16" w:tgtFrame="_blank" w:history="1">
                          <w:r w:rsidRPr="00CC0CCB">
                            <w:rPr>
                              <w:rFonts w:ascii="Georgia" w:eastAsia="Times New Roman" w:hAnsi="Georgia" w:cs="Helvetica"/>
                              <w:color w:val="A51C30"/>
                              <w:sz w:val="20"/>
                              <w:szCs w:val="20"/>
                              <w:u w:val="single"/>
                            </w:rPr>
                            <w:t>Please register in advance</w:t>
                          </w:r>
                        </w:hyperlink>
                        <w:r w:rsidRPr="00CC0CCB">
                          <w:rPr>
                            <w:rFonts w:ascii="Georgia" w:eastAsia="Times New Roman" w:hAnsi="Georgia" w:cs="Helvetica"/>
                            <w:color w:val="1E1E1E"/>
                            <w:sz w:val="20"/>
                            <w:szCs w:val="20"/>
                          </w:rPr>
                          <w:t>.</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Sincerely,</w:t>
                        </w:r>
                        <w:r w:rsidRPr="00CC0CCB">
                          <w:rPr>
                            <w:rFonts w:ascii="Georgia" w:eastAsia="Times New Roman" w:hAnsi="Georgia" w:cs="Helvetica"/>
                            <w:color w:val="1E1E1E"/>
                            <w:sz w:val="20"/>
                            <w:szCs w:val="20"/>
                          </w:rPr>
                          <w:br/>
                        </w:r>
                        <w:r w:rsidRPr="00CC0CCB">
                          <w:rPr>
                            <w:rFonts w:ascii="Georgia" w:eastAsia="Times New Roman" w:hAnsi="Georgia" w:cs="Helvetica"/>
                            <w:color w:val="1E1E1E"/>
                            <w:sz w:val="20"/>
                            <w:szCs w:val="20"/>
                          </w:rPr>
                          <w:br/>
                          <w:t>William R. Fitzsimmons</w:t>
                        </w:r>
                        <w:r w:rsidRPr="00CC0CCB">
                          <w:rPr>
                            <w:rFonts w:ascii="Georgia" w:eastAsia="Times New Roman" w:hAnsi="Georgia" w:cs="Helvetica"/>
                            <w:color w:val="1E1E1E"/>
                            <w:sz w:val="20"/>
                            <w:szCs w:val="20"/>
                          </w:rPr>
                          <w:br/>
                          <w:t>Dean of Admissions &amp; Financial Aid</w:t>
                        </w:r>
                      </w:p>
                    </w:tc>
                  </w:tr>
                  <w:tr w:rsidR="00CC0CCB" w:rsidRPr="004F00CE" w:rsidTr="00CC0CCB">
                    <w:tc>
                      <w:tcPr>
                        <w:tcW w:w="9781" w:type="dxa"/>
                        <w:shd w:val="clear" w:color="auto" w:fill="FFFFFF"/>
                        <w:vAlign w:val="center"/>
                        <w:hideMark/>
                      </w:tcPr>
                      <w:p w:rsidR="00CC0CCB" w:rsidRPr="00CC0CCB" w:rsidRDefault="00CC0CCB" w:rsidP="004F00CE">
                        <w:pPr>
                          <w:spacing w:after="0" w:line="240" w:lineRule="auto"/>
                          <w:rPr>
                            <w:rFonts w:ascii="Helvetica" w:eastAsia="Times New Roman" w:hAnsi="Helvetica" w:cs="Helvetica"/>
                            <w:sz w:val="20"/>
                            <w:szCs w:val="20"/>
                          </w:rPr>
                        </w:pPr>
                        <w:r w:rsidRPr="00CC0CCB">
                          <w:rPr>
                            <w:rFonts w:ascii="Helvetica" w:eastAsia="Times New Roman" w:hAnsi="Helvetica" w:cs="Helvetica"/>
                            <w:sz w:val="20"/>
                            <w:szCs w:val="20"/>
                          </w:rPr>
                          <w:t> </w:t>
                        </w:r>
                      </w:p>
                    </w:tc>
                  </w:tr>
                </w:tbl>
                <w:p w:rsidR="00CC0CCB" w:rsidRPr="00CC0CCB" w:rsidRDefault="00CC0CCB" w:rsidP="004F00CE">
                  <w:pPr>
                    <w:spacing w:after="0" w:line="240" w:lineRule="auto"/>
                    <w:jc w:val="center"/>
                    <w:rPr>
                      <w:rFonts w:ascii="Helvetica" w:eastAsia="Times New Roman" w:hAnsi="Helvetica" w:cs="Helvetica"/>
                      <w:sz w:val="20"/>
                      <w:szCs w:val="20"/>
                    </w:rPr>
                  </w:pPr>
                </w:p>
              </w:tc>
            </w:tr>
          </w:tbl>
          <w:p w:rsidR="00CC0CCB" w:rsidRPr="00CC0CCB" w:rsidRDefault="00CC0CCB" w:rsidP="004F00CE">
            <w:pPr>
              <w:spacing w:after="0" w:line="240" w:lineRule="auto"/>
              <w:jc w:val="center"/>
              <w:rPr>
                <w:rFonts w:ascii="Helvetica" w:eastAsia="Times New Roman" w:hAnsi="Helvetica" w:cs="Helvetica"/>
                <w:color w:val="222222"/>
                <w:sz w:val="20"/>
                <w:szCs w:val="20"/>
              </w:rPr>
            </w:pPr>
          </w:p>
        </w:tc>
      </w:tr>
      <w:bookmarkEnd w:id="0"/>
    </w:tbl>
    <w:p w:rsidR="002309AE" w:rsidRPr="004F00CE" w:rsidRDefault="002309AE" w:rsidP="004F00CE">
      <w:pPr>
        <w:spacing w:after="0" w:line="240" w:lineRule="auto"/>
        <w:rPr>
          <w:sz w:val="20"/>
          <w:szCs w:val="20"/>
        </w:rPr>
      </w:pPr>
    </w:p>
    <w:sectPr w:rsidR="002309AE" w:rsidRPr="004F00CE" w:rsidSect="004F00CE">
      <w:pgSz w:w="12240" w:h="15840"/>
      <w:pgMar w:top="709" w:right="3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CB"/>
    <w:rsid w:val="002309AE"/>
    <w:rsid w:val="003B5EE8"/>
    <w:rsid w:val="004F00CE"/>
    <w:rsid w:val="007F34CA"/>
    <w:rsid w:val="00CC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x.technolutions.net/ss/c/VpDhrCrvzjOrNk6AZ3TbHuyoInyP6upUWkHvfim0rU4cU73GE1qPRTx4E1k9c-9duaE2WZhkXia3K2_cHVVXGvYHXpZYLwudZRzusKwz3JqnkSo1eX5xY20DCkxvFmV_sXL_kU-CaJ9cQQziKYRub08Ok61PDST1J46F2XDozH2iSHvHJYjYr76fF3LQ7WfG81Jgwwnba6rcm3a9v7enZg/3bs/Si8oxGwvQZ6krg71Hb4lKw/h4/-SFMa4lg_APhfgH-lPlydkMNiS5mYFG4Q3XiH_OfWRU" TargetMode="External"/><Relationship Id="rId13" Type="http://schemas.openxmlformats.org/officeDocument/2006/relationships/hyperlink" Target="https://mx.technolutions.net/ss/c/BQM-IylQKwVhFDmSUz94JF41fQSX8ZbU42Yf5SUXglID4WT80c3a5V2C5FsQubG5Pz8ZNWhBIaME37beFTSr6tzN5Eu3WJZOS6XXc56drioqx2Id2KKmojDvPpfK0NUG7gFyJPMwsaDrxrqFEfnJ4TOKlg2JMMBYDRVdlHMsoATCA4kzaQ8PQrqnpxjWuz0hM1XjiYKjLJmvJ1Yk-8AxlIywHYQi38d9Bl_jXpz05SfkoN5DHUCJNa5utW9iVmyC/3bs/Si8oxGwvQZ6krg71Hb4lKw/h9/cD8y_mCzdDYGgxJDKYiMeRc_oiKF5NkXM9iNJW079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x.technolutions.net/ss/c/BQM-IylQKwVhFDmSUz94JF41fQSX8ZbU42Yf5SUXglJ212bcs7UjGjXPLK3jWo17MfWb0i38-yWLrht_0v0WYPuM4yIeYwFBT2oF0kn3aPJB7vsBqdpgK5wW2N9U2U8l7UtwpQUcffbE1bjFkUyiqJBwrjJcUQcwjT6NQNA6zUSkKhXYXmz5X08WG0ZkCtmz/3bs/Si8oxGwvQZ6krg71Hb4lKw/h3/34v8Yqg8FaXKiqwFcaT6zBxbL_jSfVq6gDtG6czwt00" TargetMode="External"/><Relationship Id="rId12" Type="http://schemas.openxmlformats.org/officeDocument/2006/relationships/hyperlink" Target="https://mx.technolutions.net/ss/c/BQM-IylQKwVhFDmSUz94JF41fQSX8ZbU42Yf5SUXglKC75oa187w04LWL-2Ygfptnsqq0rLKxwHppm1A7waH34o0eoBlOHtPuonDc5kaxAS812HkzwUIbS2JIcdsrT3GcvRjUvMd-gNbXMWuv0RVw5ZSRMaP-F_E6bVQ2iapWv2pQvhJ1Qmt2LoburoVgHpR/3bs/Si8oxGwvQZ6krg71Hb4lKw/h8/n1azD26Bxy5OLfAAeSGI0_Co-qMfbYqPVZTRVzXrD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x.technolutions.net/ss/c/gsby7xed_Q9kJKoUKuDGdDQd5GZ8eBiiqrFA6txX7ruPooqKFYDlfEaX2N54O5x7c5txmCBk2guh8PC1jZecx3Rxl54sDZD9-boLzBBzq1KPbMqhBpUmraIXEP9Gd98yi5BdmA7wv9-kgI3q0XJn25d0y4_XJpfemqYl7yuiOFHDFkC0Zu6f7vfs5eu7uZ8f/3bs/Si8oxGwvQZ6krg71Hb4lKw/h12/k-47xc8tqTRoV2zg-UbqLNFtz72wvQygamK9P5hEEro" TargetMode="External"/><Relationship Id="rId1" Type="http://schemas.openxmlformats.org/officeDocument/2006/relationships/styles" Target="styles.xml"/><Relationship Id="rId6" Type="http://schemas.openxmlformats.org/officeDocument/2006/relationships/hyperlink" Target="https://mx.technolutions.net/ss/c/gsby7xed_Q9kJKoUKuDGdCH3qe7Cm69vC-8UC7jfuzMlukhWuVI-3rmAUnOi93Jy1TySIaiRNoRgAl8WZI7Vf8nQ8abPXQEuCePlVZgw5sJva8FrJiVhOiH1io4l4QAr2o6nwdt51cgbLIHcwppTdu2MHs-0ZbIAzwa4g4E4NciliSfbuYHESgJPvzoty09VToHvcDuZ4bGXGN5NNZ2W8Q/3bs/Si8oxGwvQZ6krg71Hb4lKw/h2/Cg-40nCWfwB6MOafM2G1si3lyY9KIm-zHiRA758AR9w" TargetMode="External"/><Relationship Id="rId11" Type="http://schemas.openxmlformats.org/officeDocument/2006/relationships/hyperlink" Target="https://mx.technolutions.net/ss/c/BQM-IylQKwVhFDmSUz94JF41fQSX8ZbU42Yf5SUXglLu21-t04qF9-lFtmLqK38qYZ3jXiNudGUNTINveJeZ77EBVB5DGXfY3H6MAnFswt8zKoi1ov3EsgYnuypUaJSrv9aMAAItoKtci7bHVHDXFpL3gshY35Sg_P7bctgQTTNtslA1cWeU4e1INT23wW9J2pMsLI-jdzwDxKzgOmf4orFUQkJgT8yC0CBVgGq69ZoMbgZQfGzV1L1-OVQ6sx71/3bs/Si8oxGwvQZ6krg71Hb4lKw/h7/rz7pW9hltxeA0p3XD1dBVvLZ1uwtStseEm8bessQS04" TargetMode="External"/><Relationship Id="rId5" Type="http://schemas.openxmlformats.org/officeDocument/2006/relationships/hyperlink" Target="https://mx.technolutions.net/ss/c/BQM-IylQKwVhFDmSUz94JF41fQSX8ZbU42Yf5SUXglLUCDA9_aXJN86u8qIYP0wKIFBpM4Kn825S_755EQJgEmB54kllPKtnqykU0CIRKqJyxSZ-uRpw_qh2faySucQOBVzbq2s16NslGTSNLtQ82WrMxtPpuOWSCB1qfV7cqzFQE4OBPOuz8wvcOUGLtkN1/3bs/Si8oxGwvQZ6krg71Hb4lKw/h1/SzwjSkl943jjFiLneMAf7eT3bej7FMO8wmF4RQFUez4" TargetMode="External"/><Relationship Id="rId15" Type="http://schemas.openxmlformats.org/officeDocument/2006/relationships/hyperlink" Target="https://mx.technolutions.net/ss/c/gsby7xed_Q9kJKoUKuDGdDQd5GZ8eBiiqrFA6txX7ruPooqKFYDlfEaX2N54O5x7c5txmCBk2guh8PC1jZecx3Rxl54sDZD9-boLzBBzq1KPbMqhBpUmraIXEP9Gd98yi5BdmA7wv9-kgI3q0XJn25d0y4_XJpfemqYl7yuiOFHDFkC0Zu6f7vfs5eu7uZ8f/3bs/Si8oxGwvQZ6krg71Hb4lKw/h11/y1f-4o8Ek60umx4dzqm6orFU062PYBwjO0y85V-v9Dg" TargetMode="External"/><Relationship Id="rId10" Type="http://schemas.openxmlformats.org/officeDocument/2006/relationships/hyperlink" Target="https://mx.technolutions.net/ss/c/BQM-IylQKwVhFDmSUz94JF41fQSX8ZbU42Yf5SUXglIF-LSBOL4vn-lHLHk63O3kOXyB69ev0Z4VYIN2JHjSeL6GIyXljdwy5-XMKHad5wjePVEQ0CKoquVJkpAegfajhO7_OypIxlLh41knAvu7Ukda17REmaBazK56U4fx2GivFqVsR7TukNfATLXNhwAhvb8oJPSz4PK5-AhObzNFEw/3bs/Si8oxGwvQZ6krg71Hb4lKw/h6/02lqzfrCATtO446CjFQPonbcIkSEkMWLpnCO64NWYXc" TargetMode="External"/><Relationship Id="rId4" Type="http://schemas.openxmlformats.org/officeDocument/2006/relationships/webSettings" Target="webSettings.xml"/><Relationship Id="rId9" Type="http://schemas.openxmlformats.org/officeDocument/2006/relationships/hyperlink" Target="https://mx.technolutions.net/ss/c/BQM-IylQKwVhFDmSUz94JF41fQSX8ZbU42Yf5SUXglJ212bcs7UjGjXPLK3jWo17cInVxPN92gSyUpNSIObooMGtYFLv1vuRCpegCdX0HOMVSX6fwTaILAac4WH5rPMbM4ddTMHrbpOBToEyU0sZj0dOnl52ysxZczPsRrH3AXKZXtbQEHON11qqUgDymfbouGoDadWZ4SUrQ5058-3nOw/3bs/Si8oxGwvQZ6krg71Hb4lKw/h5/rerBYn1wAqgdVj6A-d7Kc1XrjXazsKB_X4n3vhOfIj4" TargetMode="External"/><Relationship Id="rId14" Type="http://schemas.openxmlformats.org/officeDocument/2006/relationships/hyperlink" Target="https://mx.technolutions.net/ss/c/BQM-IylQKwVhFDmSUz94JF41fQSX8ZbU42Yf5SUXglKf5OEXN-h83-7gvmcjKHbTnEWr62NjLJqFPqVDZg47cQfe0vvBOkfgfhPRsP9Q51yat-Y4iSSTpvyDzZi5MilR_bNsqLDDaKj2_b05ZB14duuH1EfTSqjDG8D245zZSRN8tdNYebrA02im9GAHW7Un/3bs/Si8oxGwvQZ6krg71Hb4lKw/h10/49l4S5uNj4Po1pbspN1VTt4ctnHhgtYeiiUaR-6st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2021-05-17T21:12:00Z</dcterms:created>
  <dcterms:modified xsi:type="dcterms:W3CDTF">2021-05-17T21:12:00Z</dcterms:modified>
</cp:coreProperties>
</file>